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D" w:rsidRDefault="001531A5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9"/>
      <w:bookmarkStart w:id="1" w:name="_Hlk32839505"/>
      <w:bookmarkEnd w:id="0"/>
      <w:r w:rsidRPr="001F55F6">
        <w:rPr>
          <w:rFonts w:ascii="Calibri" w:eastAsia="Calibri" w:hAnsi="Calibri" w:cs="Calibri"/>
          <w:b/>
          <w:sz w:val="20"/>
          <w:szCs w:val="20"/>
        </w:rPr>
        <w:t>Opštinska uprava opštine Blace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RDefault="001531A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_GoBack"/>
      <w:bookmarkStart w:id="3" w:name="31"/>
      <w:bookmarkEnd w:id="2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100984785</w:t>
      </w:r>
    </w:p>
    <w:p w:rsidR="001F55F6" w:rsidRPr="001F55F6" w:rsidRDefault="001531A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32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Karađorđeva 4</w:t>
      </w:r>
    </w:p>
    <w:p w:rsidR="001F55F6" w:rsidRPr="001F55F6" w:rsidRDefault="001531A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34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18420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33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Blace</w:t>
      </w:r>
    </w:p>
    <w:p w:rsidR="001F55F6" w:rsidRPr="001F55F6" w:rsidRDefault="001531A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1531A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1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21.12.2020</w:t>
      </w:r>
    </w:p>
    <w:p w:rsidR="001F55F6" w:rsidRPr="001F55F6" w:rsidRDefault="001531A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10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III-404-2611/20</w:t>
      </w:r>
    </w:p>
    <w:p w:rsidR="001F55F6" w:rsidRPr="00A9707B" w:rsidRDefault="001531A5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9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1531A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DODELI </w:t>
      </w:r>
      <w:r w:rsidRPr="001F55F6">
        <w:rPr>
          <w:rFonts w:cstheme="minorHAnsi"/>
          <w:b/>
          <w:sz w:val="32"/>
          <w:szCs w:val="32"/>
          <w:lang w:val="sr-Latn-BA"/>
        </w:rPr>
        <w:t>UGOVORA</w:t>
      </w:r>
      <w:bookmarkEnd w:id="10"/>
    </w:p>
    <w:p w:rsidR="001F55F6" w:rsidRPr="001F55F6" w:rsidRDefault="001531A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30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opštine Blace</w:t>
      </w:r>
    </w:p>
    <w:p w:rsidR="001F55F6" w:rsidRPr="001F55F6" w:rsidRDefault="001531A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7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2.1/20</w:t>
      </w:r>
    </w:p>
    <w:p w:rsidR="001F55F6" w:rsidRPr="001F55F6" w:rsidRDefault="001531A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26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Izrada tehničke dokumentacije za puteve</w:t>
      </w:r>
    </w:p>
    <w:p w:rsidR="001F55F6" w:rsidRPr="001F55F6" w:rsidRDefault="001531A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25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F02-0007969</w:t>
      </w:r>
    </w:p>
    <w:p w:rsidR="001F55F6" w:rsidRPr="001F55F6" w:rsidRDefault="001531A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A08D4" w:rsidRPr="001F55F6">
        <w:rPr>
          <w:rFonts w:asciiTheme="minorHAnsi" w:hAnsiTheme="minorHAnsi" w:cstheme="minorHAnsi"/>
          <w:sz w:val="20"/>
          <w:szCs w:val="20"/>
        </w:rPr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A08D4" w:rsidRPr="001F55F6">
        <w:rPr>
          <w:rFonts w:asciiTheme="minorHAnsi" w:hAnsiTheme="minorHAnsi" w:cstheme="minorHAnsi"/>
          <w:sz w:val="20"/>
          <w:szCs w:val="20"/>
        </w:rPr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A08D4" w:rsidRPr="001F55F6">
        <w:rPr>
          <w:rFonts w:asciiTheme="minorHAnsi" w:hAnsiTheme="minorHAnsi" w:cstheme="minorHAnsi"/>
          <w:sz w:val="20"/>
          <w:szCs w:val="20"/>
        </w:rPr>
      </w:r>
      <w:r w:rsidR="00CA08D4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1531A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8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71322000</w:t>
      </w:r>
    </w:p>
    <w:p w:rsidR="001F55F6" w:rsidRPr="001F55F6" w:rsidRDefault="001531A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2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Izrada tehničke dokumentacije za puteve</w:t>
      </w:r>
    </w:p>
    <w:p w:rsidR="001F55F6" w:rsidRPr="00B84A8C" w:rsidRDefault="001531A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416.667,00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4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1531A5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bookmarkStart w:id="22" w:name="12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grupi ponuđača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CA08D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1531A5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3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IST URBAN DOO 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4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107254024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5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 xml:space="preserve">Bulevar Svetog Cara </w:t>
            </w:r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Konstantina 103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6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ab/>
              <w:t>Niška Banja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7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18110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8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  <w:tr w:rsidR="00CA08D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1531A5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RADNJA ZA GRAĐEVINSKU DELATNOST POSLOVNE I KOMPJUTERSKE AKTIVNOSTI I PROMET NEKRETNINA DMM-INŽENJERING PERIĆ DRAGAN PR 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103003157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1" w:name="21"/>
            <w:bookmarkEnd w:id="31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B. Nemanjića, 25/61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22"/>
            <w:bookmarkEnd w:id="3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Niš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23"/>
            <w:bookmarkEnd w:id="3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4"/>
            <w:bookmarkEnd w:id="3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1531A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5" w:name="5"/>
      <w:bookmarkEnd w:id="35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376.00</w:t>
      </w:r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0,00</w:t>
      </w:r>
    </w:p>
    <w:p w:rsidR="001F55F6" w:rsidRPr="00B84A8C" w:rsidRDefault="001531A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Vrednostugovora (</w:t>
      </w:r>
      <w:proofErr w:type="gramStart"/>
      <w:r w:rsidRPr="001F55F6">
        <w:rPr>
          <w:rFonts w:cstheme="minorHAnsi"/>
          <w:bCs/>
          <w:sz w:val="20"/>
          <w:szCs w:val="20"/>
        </w:rPr>
        <w:t>sa</w:t>
      </w:r>
      <w:proofErr w:type="gramEnd"/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6" w:name="6"/>
      <w:bookmarkEnd w:id="36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376.000,00</w:t>
      </w:r>
    </w:p>
    <w:p w:rsidR="001F55F6" w:rsidRPr="00B84A8C" w:rsidRDefault="001531A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</w:t>
      </w:r>
      <w:proofErr w:type="gramStart"/>
      <w:r w:rsidRPr="001F55F6">
        <w:rPr>
          <w:rFonts w:cstheme="minorHAnsi"/>
          <w:sz w:val="20"/>
          <w:szCs w:val="20"/>
        </w:rPr>
        <w:t>:</w:t>
      </w:r>
      <w:proofErr w:type="gramEnd"/>
      <w:r w:rsidR="00B84A8C">
        <w:rPr>
          <w:rFonts w:cstheme="minorHAnsi"/>
          <w:sz w:val="20"/>
          <w:szCs w:val="20"/>
        </w:rPr>
        <w:t> </w:t>
      </w:r>
      <w:bookmarkStart w:id="37" w:name="7"/>
      <w:bookmarkEnd w:id="37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1531A5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1F55F6" w:rsidRPr="001F55F6" w:rsidRDefault="001531A5" w:rsidP="001F55F6">
      <w:pPr>
        <w:spacing w:before="120" w:after="120"/>
        <w:rPr>
          <w:rFonts w:cstheme="minorHAnsi"/>
          <w:sz w:val="20"/>
          <w:szCs w:val="20"/>
        </w:rPr>
      </w:pPr>
      <w:bookmarkStart w:id="38" w:name="1"/>
      <w:bookmarkEnd w:id="38"/>
      <w:r>
        <w:rPr>
          <w:rFonts w:ascii="Calibri" w:eastAsia="Calibri" w:hAnsi="Calibri" w:cs="Calibri"/>
          <w:sz w:val="20"/>
          <w:szCs w:val="20"/>
        </w:rPr>
        <w:t xml:space="preserve"> Komisija jednoglasno predlaže načelniku Opštinske uprave opštine Blace, da se ugovor o javnoj nabavci usluge – Izrada tehničke dokumentacije za puteve, dodeli ponuđaču: Zajednička </w:t>
      </w:r>
      <w:proofErr w:type="gramStart"/>
      <w:r>
        <w:rPr>
          <w:rFonts w:ascii="Calibri" w:eastAsia="Calibri" w:hAnsi="Calibri" w:cs="Calibri"/>
          <w:sz w:val="20"/>
          <w:szCs w:val="20"/>
        </w:rPr>
        <w:t>ponuda  Radnja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za građevinsku delatnost poslovne i kompjuterske aktivnosti </w:t>
      </w:r>
      <w:r>
        <w:rPr>
          <w:rFonts w:ascii="Calibri" w:eastAsia="Calibri" w:hAnsi="Calibri" w:cs="Calibri"/>
          <w:sz w:val="20"/>
          <w:szCs w:val="20"/>
        </w:rPr>
        <w:t>i promet nekretnina  “DMM-INŽENJERING“ Perić Dragan PR iz Niša i „IST URBAN“, d.o.o iz Niša, čija je vrednost ponude 376.000,00  dinara bez PDV-a (Ponuđač nije u sistemu PDV-a). Načelnik Opštinske uprave opštine Blace je prihvatio predlog Komisije za javnu</w:t>
      </w:r>
      <w:r>
        <w:rPr>
          <w:rFonts w:ascii="Calibri" w:eastAsia="Calibri" w:hAnsi="Calibri" w:cs="Calibri"/>
          <w:sz w:val="20"/>
          <w:szCs w:val="20"/>
        </w:rPr>
        <w:t xml:space="preserve"> nabavku o izboru ekonomski najpovoljnije ponude za javnu nabavku usluge </w:t>
      </w:r>
      <w:proofErr w:type="gramStart"/>
      <w:r>
        <w:rPr>
          <w:rFonts w:ascii="Calibri" w:eastAsia="Calibri" w:hAnsi="Calibri" w:cs="Calibri"/>
          <w:sz w:val="20"/>
          <w:szCs w:val="20"/>
        </w:rPr>
        <w:t>–  Izrada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tehničke dokumentacije za puteve.</w:t>
      </w:r>
    </w:p>
    <w:p w:rsidR="00CA08D4" w:rsidRDefault="001531A5" w:rsidP="001F55F6">
      <w:pPr>
        <w:spacing w:before="120"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Kako zaključenje Ugovora neće biti u ovoj kalendarskoj godini (rok za podnošenje zahteva za zaštitu prava je deset </w:t>
      </w:r>
      <w:proofErr w:type="gramStart"/>
      <w:r>
        <w:rPr>
          <w:rFonts w:ascii="Calibri" w:eastAsia="Calibri" w:hAnsi="Calibri" w:cs="Calibri"/>
          <w:sz w:val="20"/>
          <w:szCs w:val="20"/>
        </w:rPr>
        <w:t>dana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od dana objavljivan</w:t>
      </w:r>
      <w:r>
        <w:rPr>
          <w:rFonts w:ascii="Calibri" w:eastAsia="Calibri" w:hAnsi="Calibri" w:cs="Calibri"/>
          <w:sz w:val="20"/>
          <w:szCs w:val="20"/>
        </w:rPr>
        <w:t xml:space="preserve">ja Odluke na Portalu javnih nabavki, u skladu sa članom 214.stav 3. Zakona o javnim nabavkama), plaćanje </w:t>
      </w:r>
      <w:proofErr w:type="gramStart"/>
      <w:r>
        <w:rPr>
          <w:rFonts w:ascii="Calibri" w:eastAsia="Calibri" w:hAnsi="Calibri" w:cs="Calibri"/>
          <w:sz w:val="20"/>
          <w:szCs w:val="20"/>
        </w:rPr>
        <w:t>će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biti izvršeno u skladu sa Odlukom o budžetu Opštine Blace za 2021.godinu.</w:t>
      </w:r>
    </w:p>
    <w:p w:rsidR="00CA08D4" w:rsidRDefault="00CA08D4" w:rsidP="001F55F6">
      <w:pPr>
        <w:spacing w:before="120" w:after="120"/>
        <w:rPr>
          <w:rFonts w:ascii="Calibri" w:eastAsia="Calibri" w:hAnsi="Calibri" w:cs="Calibri"/>
          <w:sz w:val="20"/>
          <w:szCs w:val="20"/>
        </w:rPr>
      </w:pP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1531A5" w:rsidP="001F55F6">
      <w:pPr>
        <w:pStyle w:val="Pododjeljci"/>
      </w:pPr>
      <w:r w:rsidRPr="001F55F6">
        <w:lastRenderedPageBreak/>
        <w:t>Uputstvo o prav</w:t>
      </w:r>
      <w:r w:rsidR="001F27FD">
        <w:t>n</w:t>
      </w:r>
      <w:r w:rsidRPr="001F55F6">
        <w:t>om sredstvu:</w:t>
      </w:r>
    </w:p>
    <w:p w:rsidR="001F55F6" w:rsidRPr="001F55F6" w:rsidRDefault="001531A5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9" w:name="8"/>
      <w:bookmarkEnd w:id="1"/>
      <w:bookmarkEnd w:id="39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 objavljivanja na Portalu javnih nabavki u skladu sa odredbama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4520"/>
        <w:gridCol w:w="6346"/>
        <w:gridCol w:w="4517"/>
        <w:gridCol w:w="13"/>
      </w:tblGrid>
      <w:tr w:rsidR="00CA08D4">
        <w:trPr>
          <w:trHeight w:val="163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rPr>
          <w:trHeight w:val="436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CA08D4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rPr>
          <w:trHeight w:val="19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rPr>
          <w:trHeight w:val="340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CA08D4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21.12.2020 10:37:21</w:t>
                  </w: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rPr>
          <w:trHeight w:val="120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3"/>
            </w:tblGrid>
            <w:tr w:rsidR="00CA08D4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Izrada tehničke dokumentacije za puteve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2.1/20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416.667,00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71322000-Usluge tehničkog projektovanja u građevinarstvu za niskogradnju</w:t>
                  </w:r>
                </w:p>
              </w:tc>
            </w:tr>
            <w:tr w:rsidR="00CA08D4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Izrada tehničke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dokumentacije za putnu infrastrukturu.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Tehnička dokumentacija se izrađuje kao: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1.IDP-Idejni projekat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2.PZI-Projekat za izvođenje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Predviđena je izrada tehičke dokumentacije za sledeće puteve: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-Opštinski put OP 17 Blace-Trbunje;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 xml:space="preserve">-Deonica opštinskog puta OP9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, Stubal-Suvi Do;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CA08D4"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F02-0007969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05.12.2020</w:t>
                  </w:r>
                </w:p>
              </w:tc>
            </w:tr>
            <w:tr w:rsidR="00CA08D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16.12.2020 12:00:00</w:t>
                  </w: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295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CA08D4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Miloš Čolić, specijalista strukovni menadžer;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Mirjana Stojanović, dipl.ekonomista;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Marija Mladenović</w:t>
                  </w: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198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CA08D4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CA08D4">
              <w:trPr>
                <w:trHeight w:val="221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</w:tblGrid>
                  <w:tr w:rsidR="00CA08D4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8"/>
                        </w:tblGrid>
                        <w:tr w:rsidR="00CA08D4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0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 izvršenje usluge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193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CA08D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16.12.2020 12:30:00</w:t>
                  </w:r>
                </w:p>
              </w:tc>
            </w:tr>
            <w:tr w:rsidR="00CA08D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16.12.2020 12:30:22</w:t>
                  </w:r>
                </w:p>
              </w:tc>
            </w:tr>
            <w:tr w:rsidR="00CA08D4">
              <w:trPr>
                <w:trHeight w:val="328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34"/>
                  </w:tblGrid>
                  <w:tr w:rsidR="00CA08D4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2"/>
                          <w:gridCol w:w="11583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84"/>
                          <w:gridCol w:w="2248"/>
                          <w:gridCol w:w="2221"/>
                          <w:gridCol w:w="1400"/>
                          <w:gridCol w:w="2842"/>
                        </w:tblGrid>
                        <w:tr w:rsidR="00CA08D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HARMONIJA PROJEKT DOO VALJEVO, Vojvode Mišića, 13/b, 14000, Valjevo,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1210/20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11.12.2020. 08:30:10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Ninoslav Simić pr PROJEKTNI BIRO KRAFT INŽENJERING Valjevo, KARAĐORĐEVA, 169A, 14000, Valjevo,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1214/20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14.12.2020. 11:15:45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IST URBAN DOO NIŠ, Bulevar Svetog Cara Konstantina 103, 18110,  Niška Banja, Srbija; RADNJA ZA GRAĐEVINSKU DELATNOST POSLOVNE I KOMPJUTERSKE AKTIVNOSTI I PROMET NEKRETNINA DMM-INŽENJERING PERIĆ DRAGAN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PR NIŠ, B. Nemanjića, 25/61,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96/20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16.12.2020. 10:41:37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481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CA08D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CA08D4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9433"/>
                    <w:gridCol w:w="5901"/>
                  </w:tblGrid>
                  <w:tr w:rsidR="00CA08D4"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65"/>
                          <w:gridCol w:w="1119"/>
                          <w:gridCol w:w="1119"/>
                          <w:gridCol w:w="1097"/>
                          <w:gridCol w:w="1239"/>
                          <w:gridCol w:w="1104"/>
                          <w:gridCol w:w="1133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izvršenje usluge [kalendarski dan]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HARMONIJA PROJEKT DOO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Izvršilac će po završetku izrade jednog ili više delova projekata iz člana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1.Ugovora ,ispostaviti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jedan ili više računa za izvršene usluge,po stavkama iz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obrasca ponuđene cene.Plaćanje po ispostavljenim računima će biti u roku od 45 dana. Naručilac će sva plaćanja prema izvršiocu po osnovu Ugovora izvršiti uplatom na tekući račun Izvršioca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IST URBAN DOO NIŠ;RADNJA ZA GRAĐEVINSKU DELATNOST POSLOVNE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I KOMPJUTERSKE AKTIVNOSTI I PROMET NEKRETNINA DMM-INŽENJERING PERIĆ DRAGAN PR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-Plaćanje po ispostavljenim računima  će biti u roku do 45 dana; Po izradi idejnih projekata 90 % od ugovorene cene, a nakon projekta za izvođenje 10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% od ugovorene cene.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Ninoslav Simić pr PROJEKTNI BIRO KRAFT INŽENJERING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predaje tehničke dokumentacije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128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CA08D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CA08D4">
              <w:trPr>
                <w:trHeight w:val="17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9433"/>
                    <w:gridCol w:w="5901"/>
                  </w:tblGrid>
                  <w:tr w:rsidR="00CA08D4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2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65"/>
                          <w:gridCol w:w="1119"/>
                          <w:gridCol w:w="1119"/>
                          <w:gridCol w:w="1097"/>
                          <w:gridCol w:w="1239"/>
                          <w:gridCol w:w="1104"/>
                          <w:gridCol w:w="1133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Podaci 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 izvršenje usluge [kalendarski dan]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HARMONIJA PROJEKT DOO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Izvršilac će po završetku izrade jednog ili više delova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projekata iz člana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1.Ugovora ,ispostaviti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jedan ili više računa za izvršene usluge,po stavkama iz obrasca ponuđene cene.Plaćanje po ispostavljenim računima će biti u roku od 45 dana. Naručilac će sva plaćanja prema izvršiocu po osnovu Ugovora izvršiti upla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tom na tekući račun Izvršioca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IST URBAN DOO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NIŠ;RADNJA ZA GRAĐEVINSKU DELATNOST POSLOVNE I KOMPJUTERSKE AKTIVNOSTI I PROMET NEKRETNINA DMM-INŽENJERING PERIĆ DRAGAN PR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-Plaćanje po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ispostavljenim računima  će biti 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roku do 45 dana; Po izradi idejnih projekata 90 % od ugovorene cene, a nakon projekta za izvođenje 10 % od ugovorene cene.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Ninoslav Simić pr PROJEKTNI BIRO KRAFT INŽENJERING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dana od dana predaje tehničke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dokumentacije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rPr>
          <w:trHeight w:val="148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CA08D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CA08D4"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  <w:gridCol w:w="13"/>
                  </w:tblGrid>
                  <w:tr w:rsidR="00CA08D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6"/>
                          <w:gridCol w:w="4475"/>
                          <w:gridCol w:w="2603"/>
                          <w:gridCol w:w="2306"/>
                          <w:gridCol w:w="1410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HARMONIJA PROJEKT DOO VALJEVO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388.000,00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465.600,00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kompletna i nisu uočeni nikakvi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nedostaci u ponudi. Vrednost ponude je u okviru procenjene vrednosti javne nabavke.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Ninoslav Simić pr PROJEKTNI BIRO KRAFT INŽENJERING Valjevo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389.100,00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389.100,00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je kompletna. Nisu uočeni nikakvi nedostaci u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ponudi. Vrednost ponude je u okviru procenjene vrednosti javne nabavke.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IST URBAN DOO NIŠ;RADNJA ZA GRAĐEVINSKU DELATNOST POSLOVNE I KOMPJUTERSKE AKTIVNOSTI I PROMET NEKRETNINA DMM-INŽENJERING PERIĆ DRAGAN PR NIŠ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376.000,00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376.000,00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Napomena uz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Prilikom stručne ocene ponuda, Komisija za javnu nabavku, uočila je da je  ponuđač  DMM-INŽENJERING DRAGAN PERIĆ PR Niš u Izjavi o ispunjenosti kriterijuma za kvalitativni izbor privrednog subjekta, u delu podaci o privrednom subjektu, upi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sao potvrdan odgovor na pitanje, da li je privredni subjekat upisan u Registar ponuđača Republike Srbije. Nakon provere i pretrage u pomenutom Registru, Komisija je utvrdila da pomenuta firma nije registrovana u Registru ponuđača. Komisija je zatražla od p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onuđača da se pisanim putem izjasni da li je upisan u pomenuti Registar ili ne, jer su u Obrascu ponude naveli da su podaci, navedeni u Izjavi o ispunjenosti kriterijuma za kvalitativni izbor privrednog subjekta, tačni i istiniti i da su u potpunosti svesn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 posledica lažnog prikazivanja činjenica. Ponuđač je odgovorio na zatraženo objašnjenje u kome je istakao da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je  prilikom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popunjavanja Izjave, greškom  pritisnuto da je DMM-inšenjering iz Niša registrovan u Registru ponuđača i da DMM-inšenjering iz Niša i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spunjava sve Zakonske  uslove za učešće na Konkursima za Javnu babavku i poseduje svu potrebnu validnu dokumentaciju kojim potvrđuje da nema osnova za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isključenje.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Prilikom stručne ocene ponude, uočeno je i da je Ponuđač u delu „rok i način plaćanja“ napis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ao da će plaćanje biti do 45 dana po ispostavljenim računima-po izradi idejnih projekata 90 % od ugovorene cene, a nakon projekta za izvođenje 10 % od ugovorene cene. Naručilac je u Uputstvu ponuđačima kako da sačine ponudu, kao i u Modelu ugovora, stavio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će  „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Izvršila po završetku izrade jednog ili više delova projekata, ispostaviti jedan ili više računa za izvršene usluge, po stavkama iz obrasca ponuđene cene. Plaćanje po ispostavljenim računima će biti u roku do 45 dana. Naručilac će sva plaćanja prem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a Izvršiocu po osnovu Ugovora izvršiti uplatom na tekući račun Izvršioca. Avansno plaćanje nije predviđeno“.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Kako je ponuđač u Obrascu ponude štiklirao polje u kome je navedeno da je upoznat sa sadržinom Modela ugovora i da ga prihvata, samim tim prihvatio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je i rok i način plaćanja, na način kako je to Naručilac odredio.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930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A08D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CA08D4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08D4" w:rsidRDefault="001531A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CA08D4">
              <w:trPr>
                <w:trHeight w:val="427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CA08D4"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69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CA08D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CA08D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A08D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Komisija za javnu nabavku predlaže odgovornom licu Naručioca da ugovor zaključi sa  ponuđačem: Zajednička ponuda: RADNJA ZA GRAĐEVINSKU DELATNOST POSLOVNE I KOMPJUTERSKE AKTIVNOSTI I PROMET NEKRETNINA DMM-INŽENJERING PERIĆ DRAGAN PR NIŠ i IST URBAN DOO NIŠ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, čija je ponuda ocenjena kao ekonomski najpovoljnija, primenom kriterijuma za dodelu ugovora ''Cena''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6"/>
                          <w:gridCol w:w="1612"/>
                          <w:gridCol w:w="7286"/>
                          <w:gridCol w:w="1893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IST URBAN DOO NIŠ;RADNJA ZA GRAĐEVINSKU DELATNOST POSLOVNE I KOMPJUTERSKE AKTIVNOSTI I PROMET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NEKRETNINA DMM-INŽENJERING PERIĆ DRAGAN PR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376,000.00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HARMONIJA PROJEKT DOO VALJEVO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388,000.00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Ninoslav Simić pr PROJEKTNI BIRO KRAFT INŽENJERING Valjevo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389,100.00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7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62"/>
                        </w:tblGrid>
                        <w:tr w:rsidR="00CA08D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08D4" w:rsidRDefault="001531A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Zjednička ponuda: Radnja za građevinsku delatnost poslovne i kompjuterske aktivnosti i promet nekretnina "DMM-INŽENJERING" Perić Dragan PR Niš i "IST URBAN", d.o.o iz Niša izabrana je kao ekonomski najpovoljnija ponuda primenom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kriterijuma za dodelu ugovora -CENA</w:t>
                              </w:r>
                            </w:p>
                          </w:tc>
                        </w:tr>
                      </w:tbl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A08D4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A08D4" w:rsidRDefault="00CA08D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A08D4" w:rsidRDefault="00CA08D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A08D4">
        <w:trPr>
          <w:trHeight w:val="3959"/>
        </w:trPr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A08D4" w:rsidRDefault="00CA08D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A08D4" w:rsidRDefault="00CA08D4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CA08D4" w:rsidSect="00CA08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D4" w:rsidRDefault="00CA08D4" w:rsidP="00CA08D4">
      <w:pPr>
        <w:spacing w:before="0" w:after="0"/>
      </w:pPr>
      <w:r>
        <w:separator/>
      </w:r>
    </w:p>
  </w:endnote>
  <w:endnote w:type="continuationSeparator" w:id="1">
    <w:p w:rsidR="00CA08D4" w:rsidRDefault="00CA08D4" w:rsidP="00CA08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CA08D4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CA08D4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1531A5">
      <w:rPr>
        <w:caps/>
        <w:sz w:val="12"/>
        <w:szCs w:val="12"/>
        <w:lang w:val="hr-HR"/>
      </w:rPr>
      <w:tab/>
    </w:r>
    <w:r w:rsidR="001531A5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1531A5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531A5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D4" w:rsidRDefault="00CA08D4" w:rsidP="00CA08D4">
      <w:pPr>
        <w:spacing w:before="0" w:after="0"/>
      </w:pPr>
      <w:r>
        <w:separator/>
      </w:r>
    </w:p>
  </w:footnote>
  <w:footnote w:type="continuationSeparator" w:id="1">
    <w:p w:rsidR="00CA08D4" w:rsidRDefault="00CA08D4" w:rsidP="00CA08D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D4" w:rsidRDefault="00CA08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64642"/>
    <w:rsid w:val="00087A93"/>
    <w:rsid w:val="00092830"/>
    <w:rsid w:val="000A667E"/>
    <w:rsid w:val="000F6975"/>
    <w:rsid w:val="001531A5"/>
    <w:rsid w:val="00165E99"/>
    <w:rsid w:val="001B4006"/>
    <w:rsid w:val="001F27FD"/>
    <w:rsid w:val="001F55F6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A08D4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CA08D4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Marija</cp:lastModifiedBy>
  <cp:revision>2</cp:revision>
  <dcterms:created xsi:type="dcterms:W3CDTF">2020-12-21T09:42:00Z</dcterms:created>
  <dcterms:modified xsi:type="dcterms:W3CDTF">2020-12-21T09:42:00Z</dcterms:modified>
</cp:coreProperties>
</file>