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60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ЗА НАБАВКУ УСЛУГЕ </w:t>
      </w:r>
    </w:p>
    <w:p w:rsidR="008957D3" w:rsidRPr="00725258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Latn-RS"/>
        </w:rPr>
      </w:pPr>
      <w:r w:rsidRPr="00DF6BAA">
        <w:rPr>
          <w:b/>
          <w:color w:val="auto"/>
          <w:lang w:val="sr-Cyrl-RS"/>
        </w:rPr>
        <w:t>ТЕХНИЧК</w:t>
      </w:r>
      <w:r w:rsidR="00F40C82">
        <w:rPr>
          <w:b/>
          <w:color w:val="auto"/>
          <w:lang w:val="sr-Latn-RS"/>
        </w:rPr>
        <w:t>A</w:t>
      </w:r>
      <w:r w:rsidRPr="00DF6BAA">
        <w:rPr>
          <w:b/>
          <w:color w:val="auto"/>
          <w:lang w:val="sr-Cyrl-RS"/>
        </w:rPr>
        <w:t xml:space="preserve"> ДОКУМЕНТАЦИЈ</w:t>
      </w:r>
      <w:r w:rsidR="00F40C82">
        <w:rPr>
          <w:b/>
          <w:color w:val="auto"/>
          <w:lang w:val="sr-Latn-RS"/>
        </w:rPr>
        <w:t>A</w:t>
      </w:r>
      <w:r w:rsidRPr="00DF6BAA">
        <w:rPr>
          <w:b/>
          <w:color w:val="auto"/>
          <w:lang w:val="sr-Cyrl-RS"/>
        </w:rPr>
        <w:t xml:space="preserve"> </w:t>
      </w:r>
      <w:r w:rsidR="00725258">
        <w:rPr>
          <w:b/>
          <w:color w:val="auto"/>
          <w:lang w:val="sr-Cyrl-RS"/>
        </w:rPr>
        <w:t>ЗА САНАЦИЈУ ОБЈЕКАТА НИСКОГРАДЊЕ</w:t>
      </w:r>
    </w:p>
    <w:p w:rsidR="00A76BD8" w:rsidRDefault="00A76BD8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AD0E20" w:rsidRPr="002F3DF9" w:rsidRDefault="00AD0E20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8957B6">
        <w:rPr>
          <w:b/>
          <w:color w:val="auto"/>
          <w:spacing w:val="1"/>
        </w:rPr>
        <w:t>В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С</w:t>
      </w:r>
      <w:r w:rsidRPr="008957B6">
        <w:rPr>
          <w:b/>
          <w:color w:val="auto"/>
        </w:rPr>
        <w:t>ТА</w:t>
      </w:r>
      <w:r w:rsidRPr="008957B6">
        <w:rPr>
          <w:b/>
          <w:color w:val="auto"/>
          <w:spacing w:val="1"/>
        </w:rPr>
        <w:t xml:space="preserve"> </w:t>
      </w:r>
      <w:r w:rsidR="008957D3" w:rsidRPr="008957B6">
        <w:rPr>
          <w:b/>
          <w:color w:val="auto"/>
          <w:spacing w:val="-2"/>
          <w:lang w:val="sr-Cyrl-RS"/>
        </w:rPr>
        <w:t>УСЛУГЕ</w:t>
      </w:r>
    </w:p>
    <w:p w:rsidR="00D64013" w:rsidRDefault="00BD7BD5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  <w:r>
        <w:rPr>
          <w:color w:val="auto"/>
          <w:lang w:val="sr-Cyrl-RS"/>
        </w:rPr>
        <w:t>Услуга техничког пројектовања у грађевинарству за послове нискоградње.</w:t>
      </w:r>
    </w:p>
    <w:p w:rsidR="00316025" w:rsidRDefault="00316025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-1"/>
        </w:rPr>
        <w:t>ЕХ</w:t>
      </w:r>
      <w:r w:rsidRPr="008957B6">
        <w:rPr>
          <w:b/>
          <w:color w:val="auto"/>
          <w:spacing w:val="1"/>
        </w:rPr>
        <w:t>Н</w:t>
      </w:r>
      <w:r w:rsidRPr="008957B6">
        <w:rPr>
          <w:b/>
          <w:color w:val="auto"/>
          <w:spacing w:val="-1"/>
        </w:rPr>
        <w:t>И</w:t>
      </w:r>
      <w:r w:rsidRPr="008957B6">
        <w:rPr>
          <w:b/>
          <w:color w:val="auto"/>
          <w:spacing w:val="-2"/>
        </w:rPr>
        <w:t>Ч</w:t>
      </w:r>
      <w:r w:rsidRPr="008957B6">
        <w:rPr>
          <w:b/>
          <w:color w:val="auto"/>
          <w:spacing w:val="-1"/>
        </w:rPr>
        <w:t>К</w:t>
      </w:r>
      <w:r w:rsidRPr="008957B6">
        <w:rPr>
          <w:b/>
          <w:color w:val="auto"/>
        </w:rPr>
        <w:t xml:space="preserve">Е </w:t>
      </w:r>
      <w:r w:rsidRPr="008957B6">
        <w:rPr>
          <w:b/>
          <w:color w:val="auto"/>
          <w:spacing w:val="1"/>
        </w:rPr>
        <w:t>КА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АК</w:t>
      </w: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1"/>
        </w:rPr>
        <w:t>Е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ИС</w:t>
      </w:r>
      <w:r w:rsidRPr="008957B6">
        <w:rPr>
          <w:b/>
          <w:color w:val="auto"/>
          <w:spacing w:val="2"/>
        </w:rPr>
        <w:t>Т</w:t>
      </w:r>
      <w:r w:rsidRPr="008957B6">
        <w:rPr>
          <w:b/>
          <w:color w:val="auto"/>
          <w:spacing w:val="-1"/>
        </w:rPr>
        <w:t>ИК</w:t>
      </w:r>
      <w:r w:rsidRPr="008957B6">
        <w:rPr>
          <w:b/>
          <w:color w:val="auto"/>
        </w:rPr>
        <w:t xml:space="preserve">Е </w:t>
      </w:r>
    </w:p>
    <w:p w:rsidR="00CA59E5" w:rsidRPr="008957B6" w:rsidRDefault="00D64013" w:rsidP="008957B6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color w:val="auto"/>
          <w:kern w:val="0"/>
          <w:lang w:val="sr-Cyrl-CS" w:eastAsia="sr-Latn-RS"/>
        </w:rPr>
      </w:pPr>
      <w:r w:rsidRPr="008957B6">
        <w:rPr>
          <w:color w:val="auto"/>
          <w:lang w:val="sr-Cyrl-CS"/>
        </w:rPr>
        <w:t xml:space="preserve">Техничка документација се израђује у складу са Законом 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о планирању и изградњи (''Сл.гласник РС'' бр.72/09,  81/09, 64/10,24/11, 121/12, </w:t>
      </w:r>
      <w:r w:rsidRPr="008957B6">
        <w:rPr>
          <w:rFonts w:eastAsia="Times New Roman"/>
          <w:color w:val="auto"/>
          <w:kern w:val="0"/>
          <w:lang w:val="sr-Latn-RS" w:eastAsia="sr-Latn-RS"/>
        </w:rPr>
        <w:t>42/13-УС, 50/13-УС, 98/13-УС, 132/14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, </w:t>
      </w:r>
      <w:r w:rsidRPr="008957B6">
        <w:rPr>
          <w:rFonts w:eastAsia="Times New Roman"/>
          <w:color w:val="auto"/>
          <w:kern w:val="0"/>
          <w:lang w:val="sr-Latn-RS" w:eastAsia="sr-Latn-RS"/>
        </w:rPr>
        <w:t>145/14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>, 83/2018, 31/2019, 37/2019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>,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 9/2020</w:t>
      </w:r>
      <w:r w:rsidR="00725258">
        <w:rPr>
          <w:rFonts w:eastAsia="Times New Roman"/>
          <w:color w:val="auto"/>
          <w:kern w:val="0"/>
          <w:lang w:val="sr-Cyrl-RS" w:eastAsia="sr-Latn-RS"/>
        </w:rPr>
        <w:t>,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 xml:space="preserve"> 52/21</w:t>
      </w:r>
      <w:r w:rsidR="00725258">
        <w:rPr>
          <w:rFonts w:eastAsia="Times New Roman"/>
          <w:color w:val="auto"/>
          <w:kern w:val="0"/>
          <w:lang w:val="sr-Cyrl-RS" w:eastAsia="sr-Latn-RS"/>
        </w:rPr>
        <w:t xml:space="preserve"> и 62/23</w:t>
      </w:r>
      <w:r w:rsidRPr="008957B6">
        <w:rPr>
          <w:rFonts w:eastAsia="Times New Roman"/>
          <w:color w:val="auto"/>
          <w:kern w:val="0"/>
          <w:lang w:val="sr-Cyrl-CS" w:eastAsia="sr-Latn-RS"/>
        </w:rPr>
        <w:t>) Правилником о садржини, начину и поступку израде и начину вршења контроле техничке документације према класи и намени објеката (''Сл.гласник РС'' бр.</w:t>
      </w:r>
      <w:r w:rsidR="008957D3" w:rsidRPr="008957B6">
        <w:rPr>
          <w:rFonts w:eastAsia="Times New Roman"/>
          <w:color w:val="auto"/>
          <w:kern w:val="0"/>
          <w:lang w:val="sr-Cyrl-CS" w:eastAsia="sr-Latn-RS"/>
        </w:rPr>
        <w:t>73/19</w:t>
      </w:r>
      <w:r w:rsidRPr="008957B6">
        <w:rPr>
          <w:rFonts w:eastAsia="Times New Roman"/>
          <w:color w:val="auto"/>
          <w:kern w:val="0"/>
          <w:lang w:val="sr-Cyrl-CS" w:eastAsia="sr-Latn-RS"/>
        </w:rPr>
        <w:t>)</w:t>
      </w:r>
      <w:r w:rsidR="00725258">
        <w:rPr>
          <w:rFonts w:eastAsia="Times New Roman"/>
          <w:color w:val="auto"/>
          <w:kern w:val="0"/>
          <w:lang w:val="sr-Cyrl-CS" w:eastAsia="sr-Latn-RS"/>
        </w:rPr>
        <w:t xml:space="preserve"> као</w:t>
      </w:r>
      <w:r w:rsidR="008957B6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CE6EAD">
        <w:rPr>
          <w:rFonts w:eastAsia="Times New Roman"/>
          <w:color w:val="auto"/>
          <w:kern w:val="0"/>
          <w:lang w:val="sr-Cyrl-CS" w:eastAsia="sr-Latn-RS"/>
        </w:rPr>
        <w:t xml:space="preserve">и другим подзаконским актима 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CE6EAD">
        <w:rPr>
          <w:rFonts w:eastAsia="Times New Roman"/>
          <w:color w:val="auto"/>
          <w:kern w:val="0"/>
          <w:lang w:val="sr-Cyrl-CS" w:eastAsia="sr-Latn-RS"/>
        </w:rPr>
        <w:t xml:space="preserve">овог 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>закона</w:t>
      </w:r>
      <w:r w:rsidR="00A07FA0">
        <w:rPr>
          <w:rFonts w:eastAsia="Times New Roman"/>
          <w:color w:val="auto"/>
          <w:kern w:val="0"/>
          <w:lang w:val="sr-Cyrl-CS" w:eastAsia="sr-Latn-RS"/>
        </w:rPr>
        <w:t>.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</w:p>
    <w:p w:rsidR="00A03731" w:rsidRPr="008957B6" w:rsidRDefault="00A03731" w:rsidP="008957B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</w:p>
    <w:p w:rsidR="00D64013" w:rsidRPr="001266F4" w:rsidRDefault="00D64013" w:rsidP="008957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b/>
          <w:bCs/>
          <w:color w:val="auto"/>
        </w:rPr>
      </w:pPr>
      <w:r w:rsidRPr="008957B6">
        <w:rPr>
          <w:b/>
          <w:bCs/>
          <w:color w:val="auto"/>
          <w:lang w:val="sr-Cyrl-RS"/>
        </w:rPr>
        <w:t xml:space="preserve">КОЛИЧИНА И ОПИС </w:t>
      </w:r>
    </w:p>
    <w:p w:rsidR="00CE0459" w:rsidRPr="002F3DF9" w:rsidRDefault="00CE0459" w:rsidP="00CE0459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1266F4" w:rsidRPr="00B035B1" w:rsidTr="00410C24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Редни број</w:t>
            </w:r>
          </w:p>
        </w:tc>
        <w:tc>
          <w:tcPr>
            <w:tcW w:w="7668" w:type="dxa"/>
          </w:tcPr>
          <w:p w:rsidR="001266F4" w:rsidRPr="00B035B1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B035B1">
              <w:rPr>
                <w:rFonts w:eastAsia="Times New Roman"/>
                <w:b/>
                <w:kern w:val="0"/>
                <w:lang w:val="sr-Cyrl-RS" w:eastAsia="en-US"/>
              </w:rPr>
              <w:t>1</w:t>
            </w:r>
          </w:p>
        </w:tc>
      </w:tr>
      <w:tr w:rsidR="001266F4" w:rsidRPr="007B35EA" w:rsidTr="00410C24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Назив објекта</w:t>
            </w:r>
          </w:p>
        </w:tc>
        <w:tc>
          <w:tcPr>
            <w:tcW w:w="7668" w:type="dxa"/>
          </w:tcPr>
          <w:p w:rsidR="001266F4" w:rsidRPr="007B35EA" w:rsidRDefault="001266F4" w:rsidP="001266F4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 w:rsidRPr="006151CF">
              <w:rPr>
                <w:rFonts w:eastAsia="Times New Roman"/>
                <w:b/>
                <w:color w:val="auto"/>
                <w:kern w:val="0"/>
                <w:lang w:val="sr-Cyrl-RS" w:eastAsia="en-US"/>
              </w:rPr>
              <w:t>Улица Војводе Степе у насељу Блаце</w:t>
            </w:r>
            <w:r>
              <w:rPr>
                <w:rFonts w:eastAsia="Times New Roman"/>
                <w:kern w:val="0"/>
                <w:lang w:val="sr-Cyrl-RS" w:eastAsia="en-US"/>
              </w:rPr>
              <w:t xml:space="preserve"> (од улице </w:t>
            </w:r>
            <w:r w:rsidRPr="007B35EA">
              <w:rPr>
                <w:rFonts w:eastAsia="Times New Roman"/>
                <w:kern w:val="0"/>
                <w:lang w:val="sr-Cyrl-RS" w:eastAsia="en-US"/>
              </w:rPr>
              <w:t xml:space="preserve">Браће Вуксановић </w:t>
            </w:r>
            <w:r>
              <w:rPr>
                <w:rFonts w:eastAsia="Times New Roman"/>
                <w:kern w:val="0"/>
                <w:lang w:val="sr-Cyrl-RS" w:eastAsia="en-US"/>
              </w:rPr>
              <w:t xml:space="preserve">до краја насеља Блаце) </w:t>
            </w:r>
            <w:r w:rsidRPr="001266F4">
              <w:rPr>
                <w:rFonts w:eastAsia="Times New Roman"/>
                <w:b/>
                <w:kern w:val="0"/>
                <w:lang w:val="sr-Cyrl-RS" w:eastAsia="en-US"/>
              </w:rPr>
              <w:t>са припадајућом инфраструктуром</w:t>
            </w:r>
            <w:r w:rsidRPr="007B35EA">
              <w:rPr>
                <w:rFonts w:eastAsia="Times New Roman"/>
                <w:kern w:val="0"/>
                <w:lang w:val="sr-Cyrl-RS" w:eastAsia="en-US"/>
              </w:rPr>
              <w:t xml:space="preserve"> </w:t>
            </w:r>
          </w:p>
        </w:tc>
      </w:tr>
      <w:tr w:rsidR="001266F4" w:rsidRPr="007B35EA" w:rsidTr="00410C24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Локација</w:t>
            </w:r>
          </w:p>
        </w:tc>
        <w:tc>
          <w:tcPr>
            <w:tcW w:w="7668" w:type="dxa"/>
          </w:tcPr>
          <w:p w:rsidR="001266F4" w:rsidRPr="007B35EA" w:rsidRDefault="001266F4" w:rsidP="00FD5095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насеље Блаце,</w:t>
            </w:r>
            <w:r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катастарска п</w:t>
            </w:r>
            <w:r w:rsidR="0063234F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рцел</w:t>
            </w:r>
            <w:r w:rsidR="0063234F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број </w:t>
            </w:r>
            <w:r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>7116/1 КО Блаце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и делови суседних катасатраских парцела </w:t>
            </w:r>
          </w:p>
        </w:tc>
      </w:tr>
      <w:tr w:rsidR="001266F4" w:rsidRPr="007B35EA" w:rsidTr="00410C24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Намена</w:t>
            </w:r>
          </w:p>
        </w:tc>
        <w:tc>
          <w:tcPr>
            <w:tcW w:w="7668" w:type="dxa"/>
          </w:tcPr>
          <w:p w:rsidR="001266F4" w:rsidRPr="007B35EA" w:rsidRDefault="001266F4" w:rsidP="001266F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јавна саобраћајна површина – улица у насељу </w:t>
            </w:r>
          </w:p>
        </w:tc>
      </w:tr>
      <w:tr w:rsidR="001266F4" w:rsidRPr="007B35EA" w:rsidTr="00410C24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Врста радова</w:t>
            </w:r>
          </w:p>
        </w:tc>
        <w:tc>
          <w:tcPr>
            <w:tcW w:w="7668" w:type="dxa"/>
          </w:tcPr>
          <w:p w:rsidR="001266F4" w:rsidRPr="007B35EA" w:rsidRDefault="001266F4" w:rsidP="000D770B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Реконструкција</w:t>
            </w:r>
            <w:r w:rsidR="000D770B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</w:p>
        </w:tc>
      </w:tr>
      <w:tr w:rsidR="001266F4" w:rsidRPr="000029B7" w:rsidTr="00410C24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Пројектни задатак</w:t>
            </w:r>
          </w:p>
        </w:tc>
        <w:tc>
          <w:tcPr>
            <w:tcW w:w="7668" w:type="dxa"/>
          </w:tcPr>
          <w:p w:rsidR="001266F4" w:rsidRDefault="001266F4" w:rsidP="00410C24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Потребно је предвидети све неопходне радове на </w:t>
            </w:r>
            <w:r w:rsidR="00C51280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реконструкцији 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градске саобраћајнице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и пратеће инфраструктуре 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у дужини од </w:t>
            </w:r>
            <w:r w:rsidRPr="006B2E28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око </w:t>
            </w:r>
            <w:r w:rsidR="00C51280">
              <w:rPr>
                <w:rFonts w:eastAsia="Times New Roman"/>
                <w:color w:val="auto"/>
                <w:kern w:val="0"/>
                <w:lang w:val="sr-Cyrl-CS" w:eastAsia="sr-Latn-RS"/>
              </w:rPr>
              <w:t>650</w:t>
            </w:r>
            <w:r w:rsidRPr="006B2E28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м </w:t>
            </w:r>
            <w:r w:rsidRPr="00805D0B">
              <w:rPr>
                <w:rFonts w:eastAsia="Times New Roman"/>
                <w:color w:val="auto"/>
                <w:kern w:val="0"/>
                <w:lang w:val="sr-Cyrl-CS" w:eastAsia="sr-Latn-RS"/>
              </w:rPr>
              <w:t>у свему у складу са важећим планским документом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.</w:t>
            </w:r>
            <w:r w:rsidR="000D770B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(коловоз у ширини од 6,0м</w:t>
            </w:r>
            <w:r w:rsidR="009E1683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у првом делу и 5,0м у другом делу</w:t>
            </w:r>
            <w:r w:rsidR="000D770B">
              <w:rPr>
                <w:rFonts w:eastAsia="Times New Roman"/>
                <w:color w:val="auto"/>
                <w:kern w:val="0"/>
                <w:lang w:val="sr-Cyrl-CS" w:eastAsia="sr-Latn-RS"/>
              </w:rPr>
              <w:t>, ивичњаци, обострани тротоари у ширини од 1,5м, канализација за атмосфер</w:t>
            </w:r>
            <w:r w:rsidR="005169D2">
              <w:rPr>
                <w:rFonts w:eastAsia="Times New Roman"/>
                <w:color w:val="auto"/>
                <w:kern w:val="0"/>
                <w:lang w:val="sr-Cyrl-CS" w:eastAsia="sr-Latn-RS"/>
              </w:rPr>
              <w:t>с</w:t>
            </w:r>
            <w:r w:rsidR="000D770B">
              <w:rPr>
                <w:rFonts w:eastAsia="Times New Roman"/>
                <w:color w:val="auto"/>
                <w:kern w:val="0"/>
                <w:lang w:val="sr-Cyrl-CS" w:eastAsia="sr-Latn-RS"/>
              </w:rPr>
              <w:t>ке воде, јавна расвета)</w:t>
            </w:r>
          </w:p>
          <w:p w:rsidR="000D770B" w:rsidRPr="000029B7" w:rsidRDefault="001266F4" w:rsidP="009E1683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Пројектом обухватити и делове </w:t>
            </w:r>
            <w:r w:rsidR="009E1683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улица са којима се ова улица укршта,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односно на којима се налазе места прикључеља на постојећу инфраструктуру.</w:t>
            </w:r>
          </w:p>
        </w:tc>
      </w:tr>
      <w:tr w:rsidR="001266F4" w:rsidRPr="007B35EA" w:rsidTr="00410C24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Плански основ</w:t>
            </w:r>
          </w:p>
        </w:tc>
        <w:tc>
          <w:tcPr>
            <w:tcW w:w="7668" w:type="dxa"/>
          </w:tcPr>
          <w:p w:rsidR="001266F4" w:rsidRPr="007B35EA" w:rsidRDefault="001266F4" w:rsidP="00410C24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План генералне регулације насеља Блаце (''Сл.лист општине Блаце'' бр.7/17).</w:t>
            </w:r>
          </w:p>
        </w:tc>
      </w:tr>
      <w:tr w:rsidR="001266F4" w:rsidRPr="007B35EA" w:rsidTr="00410C24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Садржај техничке докуменатције</w:t>
            </w:r>
          </w:p>
        </w:tc>
        <w:tc>
          <w:tcPr>
            <w:tcW w:w="7668" w:type="dxa"/>
          </w:tcPr>
          <w:p w:rsidR="001266F4" w:rsidRPr="00E4685C" w:rsidRDefault="001266F4" w:rsidP="00410C24">
            <w:pPr>
              <w:ind w:left="612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>1.</w:t>
            </w: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>ИДР-Идејно решење</w:t>
            </w:r>
          </w:p>
          <w:p w:rsidR="001266F4" w:rsidRPr="009D4597" w:rsidRDefault="001266F4" w:rsidP="00410C2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12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>2.</w:t>
            </w:r>
            <w:r w:rsidR="001D6C00">
              <w:rPr>
                <w:rFonts w:eastAsia="Times New Roman"/>
                <w:color w:val="auto"/>
                <w:kern w:val="0"/>
                <w:lang w:val="sr-Cyrl-RS" w:eastAsia="sr-Latn-RS"/>
              </w:rPr>
              <w:t>ИДП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="001D6C00">
              <w:rPr>
                <w:rFonts w:eastAsia="Times New Roman"/>
                <w:color w:val="auto"/>
                <w:kern w:val="0"/>
                <w:lang w:val="sr-Cyrl-RS" w:eastAsia="sl-SI"/>
              </w:rPr>
              <w:t>Идејни пројекат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</w:p>
          <w:p w:rsidR="001266F4" w:rsidRDefault="001266F4" w:rsidP="00410C2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12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3.ПЗИ-Пројекат за извођење </w:t>
            </w:r>
          </w:p>
          <w:p w:rsidR="001266F4" w:rsidRDefault="001266F4" w:rsidP="00410C24">
            <w:pPr>
              <w:widowControl w:val="0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Техничка документација садржи </w:t>
            </w:r>
            <w:r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главну свеску и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пројекте који се израђују у деловима,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према областима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садржају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 и то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према следећем редоследу: </w:t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0-главна свеска</w:t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2-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пројекат саобраћајнице</w:t>
            </w:r>
          </w:p>
          <w:p w:rsidR="001266F4" w:rsidRPr="00E4685C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3-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пројекат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хидротехничк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их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инсталациј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а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(</w:t>
            </w:r>
            <w:r w:rsidRPr="00E4685C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атмосферска канализација) </w:t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lastRenderedPageBreak/>
              <w:tab/>
              <w:t>4-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пројекат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електроенергетск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их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инсталације (</w:t>
            </w:r>
            <w:r w:rsidRPr="00E4685C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јавна расвета) </w:t>
            </w: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8</w:t>
            </w:r>
            <w:r w:rsidRPr="00710896">
              <w:rPr>
                <w:rFonts w:eastAsia="Times New Roman"/>
                <w:color w:val="auto"/>
                <w:kern w:val="0"/>
                <w:lang w:val="sr-Cyrl-RS" w:eastAsia="sl-SI"/>
              </w:rPr>
              <w:t>-пројекат саобраћаја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и саобраћајне сигнализације</w:t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l-SI"/>
              </w:rPr>
            </w:pPr>
          </w:p>
          <w:p w:rsidR="001266F4" w:rsidRPr="00E4685C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Пројекат прикључка на јавну комуналну инфраструктуру је део пројекта одговарајуће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области, 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врсте инсталација.</w:t>
            </w: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 w:rsidRPr="00E4685C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Сви пројекти се израђује у једном примерку у електронском облику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(у 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.pdf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>и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 .dwg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формату)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и потписују електронски  у складу са законом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. </w:t>
            </w: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>
              <w:rPr>
                <w:rFonts w:eastAsia="CIDFont+F4"/>
                <w:color w:val="auto"/>
                <w:kern w:val="0"/>
                <w:lang w:val="sr-Cyrl-RS" w:eastAsia="en-US"/>
              </w:rPr>
              <w:tab/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ПЗИ се штампа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и доставља Наручиоцу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у три примерка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потписан и оверен од стрене пројектаната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.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Графички прилози треба да буду у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размери и штампани у боји на квалитетном папиру. </w:t>
            </w:r>
          </w:p>
          <w:p w:rsidR="001266F4" w:rsidRPr="007B35EA" w:rsidRDefault="001266F4" w:rsidP="00410C24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</w:p>
        </w:tc>
      </w:tr>
      <w:tr w:rsidR="001266F4" w:rsidRPr="009D4597" w:rsidTr="00410C24">
        <w:tc>
          <w:tcPr>
            <w:tcW w:w="1908" w:type="dxa"/>
          </w:tcPr>
          <w:p w:rsidR="001266F4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lastRenderedPageBreak/>
              <w:t>Подлоге</w:t>
            </w:r>
          </w:p>
        </w:tc>
        <w:tc>
          <w:tcPr>
            <w:tcW w:w="7668" w:type="dxa"/>
          </w:tcPr>
          <w:p w:rsidR="001266F4" w:rsidRPr="009D4597" w:rsidRDefault="001266F4" w:rsidP="006D455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>За потребе израде техничке документ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а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ције Наручилац ће обезбедити и пре почетка 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посла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доставити Извршиоцу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информацију о локацији за </w:t>
            </w:r>
            <w:r w:rsidR="00E451C9">
              <w:rPr>
                <w:rFonts w:eastAsia="Times New Roman"/>
                <w:color w:val="auto"/>
                <w:kern w:val="0"/>
                <w:lang w:val="sr-Cyrl-RS" w:eastAsia="sr-Latn-RS"/>
              </w:rPr>
              <w:t>реконструкцију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улице и припадајуће инфраструктуре</w:t>
            </w:r>
            <w:r w:rsidR="006D4559">
              <w:rPr>
                <w:rFonts w:eastAsia="Times New Roman"/>
                <w:color w:val="auto"/>
                <w:kern w:val="0"/>
                <w:lang w:val="sr-Cyrl-RS" w:eastAsia="sr-Latn-RS"/>
              </w:rPr>
              <w:t>. Геодетску подлогу обезбеђује Извршилац у фази израде ИДР.</w:t>
            </w:r>
            <w:r w:rsidR="00C11A15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  <w:r w:rsidR="006D4559">
              <w:rPr>
                <w:rFonts w:eastAsia="Times New Roman"/>
                <w:color w:val="auto"/>
                <w:kern w:val="0"/>
                <w:lang w:val="sr-Cyrl-RS" w:eastAsia="sr-Latn-RS"/>
              </w:rPr>
              <w:t>У случају потребе, г</w:t>
            </w:r>
            <w:r w:rsidR="00C11A15">
              <w:rPr>
                <w:rFonts w:eastAsia="Times New Roman"/>
                <w:color w:val="auto"/>
                <w:kern w:val="0"/>
                <w:lang w:val="sr-Cyrl-RS" w:eastAsia="sr-Latn-RS"/>
              </w:rPr>
              <w:t>елошки ел</w:t>
            </w:r>
            <w:r w:rsidR="006D4559">
              <w:rPr>
                <w:rFonts w:eastAsia="Times New Roman"/>
                <w:color w:val="auto"/>
                <w:kern w:val="0"/>
                <w:lang w:val="sr-Cyrl-RS" w:eastAsia="sr-Latn-RS"/>
              </w:rPr>
              <w:t>а</w:t>
            </w:r>
            <w:r w:rsidR="00C11A15">
              <w:rPr>
                <w:rFonts w:eastAsia="Times New Roman"/>
                <w:color w:val="auto"/>
                <w:kern w:val="0"/>
                <w:lang w:val="sr-Cyrl-RS" w:eastAsia="sr-Latn-RS"/>
              </w:rPr>
              <w:t>борат ће обезбедити Наручилац,</w:t>
            </w:r>
          </w:p>
        </w:tc>
      </w:tr>
      <w:tr w:rsidR="001266F4" w:rsidRPr="00E4685C" w:rsidTr="00410C24">
        <w:tc>
          <w:tcPr>
            <w:tcW w:w="1908" w:type="dxa"/>
          </w:tcPr>
          <w:p w:rsidR="001266F4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 xml:space="preserve">Техничка контрола </w:t>
            </w:r>
          </w:p>
        </w:tc>
        <w:tc>
          <w:tcPr>
            <w:tcW w:w="7668" w:type="dxa"/>
          </w:tcPr>
          <w:p w:rsidR="001266F4" w:rsidRDefault="001266F4" w:rsidP="00410C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>Техничку контрол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у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ће 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у складу са законом 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>обезбедити Наручилац.</w:t>
            </w:r>
          </w:p>
          <w:p w:rsidR="001266F4" w:rsidRPr="00E4685C" w:rsidRDefault="001266F4" w:rsidP="00410C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</w:p>
        </w:tc>
      </w:tr>
    </w:tbl>
    <w:p w:rsidR="00FC5A5F" w:rsidRDefault="00FC5A5F" w:rsidP="009D4597">
      <w:pPr>
        <w:jc w:val="both"/>
        <w:rPr>
          <w:rFonts w:eastAsia="CIDFont+F4"/>
          <w:b/>
          <w:color w:val="auto"/>
          <w:kern w:val="0"/>
          <w:lang w:val="sr-Cyrl-R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C11A15" w:rsidRPr="00B035B1" w:rsidTr="00410C24">
        <w:tc>
          <w:tcPr>
            <w:tcW w:w="1908" w:type="dxa"/>
          </w:tcPr>
          <w:p w:rsidR="00C11A15" w:rsidRPr="007B35EA" w:rsidRDefault="00C11A15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Редни број</w:t>
            </w:r>
          </w:p>
        </w:tc>
        <w:tc>
          <w:tcPr>
            <w:tcW w:w="7668" w:type="dxa"/>
          </w:tcPr>
          <w:p w:rsidR="00C11A15" w:rsidRPr="00B035B1" w:rsidRDefault="00C11A15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2</w:t>
            </w:r>
          </w:p>
        </w:tc>
      </w:tr>
      <w:tr w:rsidR="00C11A15" w:rsidRPr="007B35EA" w:rsidTr="00410C24">
        <w:tc>
          <w:tcPr>
            <w:tcW w:w="1908" w:type="dxa"/>
          </w:tcPr>
          <w:p w:rsidR="00C11A15" w:rsidRPr="007B35EA" w:rsidRDefault="00C11A15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Назив објекта</w:t>
            </w:r>
          </w:p>
        </w:tc>
        <w:tc>
          <w:tcPr>
            <w:tcW w:w="7668" w:type="dxa"/>
          </w:tcPr>
          <w:p w:rsidR="00C11A15" w:rsidRPr="007B35EA" w:rsidRDefault="00C11A15" w:rsidP="00C11A15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 w:rsidRPr="006151CF">
              <w:rPr>
                <w:rFonts w:eastAsia="Times New Roman"/>
                <w:b/>
                <w:color w:val="auto"/>
                <w:kern w:val="0"/>
                <w:lang w:val="sr-Cyrl-RS" w:eastAsia="en-US"/>
              </w:rPr>
              <w:t xml:space="preserve">Улица </w:t>
            </w:r>
            <w:r>
              <w:rPr>
                <w:rFonts w:eastAsia="Times New Roman"/>
                <w:b/>
                <w:color w:val="auto"/>
                <w:kern w:val="0"/>
                <w:lang w:val="sr-Cyrl-RS" w:eastAsia="en-US"/>
              </w:rPr>
              <w:t xml:space="preserve">Браће Вуксановић </w:t>
            </w:r>
            <w:r w:rsidRPr="006151CF">
              <w:rPr>
                <w:rFonts w:eastAsia="Times New Roman"/>
                <w:b/>
                <w:color w:val="auto"/>
                <w:kern w:val="0"/>
                <w:lang w:val="sr-Cyrl-RS" w:eastAsia="en-US"/>
              </w:rPr>
              <w:t xml:space="preserve"> у насељу Блаце</w:t>
            </w:r>
            <w:r>
              <w:rPr>
                <w:rFonts w:eastAsia="Times New Roman"/>
                <w:kern w:val="0"/>
                <w:lang w:val="sr-Cyrl-RS" w:eastAsia="en-US"/>
              </w:rPr>
              <w:t xml:space="preserve"> (од улице Краља Петра</w:t>
            </w:r>
            <w:r w:rsidRPr="007B35EA">
              <w:rPr>
                <w:rFonts w:eastAsia="Times New Roman"/>
                <w:kern w:val="0"/>
                <w:lang w:val="sr-Cyrl-RS" w:eastAsia="en-US"/>
              </w:rPr>
              <w:t xml:space="preserve"> </w:t>
            </w:r>
            <w:r>
              <w:rPr>
                <w:rFonts w:eastAsia="Times New Roman"/>
                <w:kern w:val="0"/>
                <w:lang w:val="sr-Cyrl-RS" w:eastAsia="en-US"/>
              </w:rPr>
              <w:t xml:space="preserve">до улице Војводе Степе) </w:t>
            </w:r>
            <w:r w:rsidRPr="001266F4">
              <w:rPr>
                <w:rFonts w:eastAsia="Times New Roman"/>
                <w:b/>
                <w:kern w:val="0"/>
                <w:lang w:val="sr-Cyrl-RS" w:eastAsia="en-US"/>
              </w:rPr>
              <w:t>са припадајућом инфраструктуром</w:t>
            </w:r>
            <w:r w:rsidRPr="007B35EA">
              <w:rPr>
                <w:rFonts w:eastAsia="Times New Roman"/>
                <w:kern w:val="0"/>
                <w:lang w:val="sr-Cyrl-RS" w:eastAsia="en-US"/>
              </w:rPr>
              <w:t xml:space="preserve"> </w:t>
            </w:r>
          </w:p>
        </w:tc>
      </w:tr>
      <w:tr w:rsidR="00C11A15" w:rsidRPr="007B35EA" w:rsidTr="00410C24">
        <w:tc>
          <w:tcPr>
            <w:tcW w:w="1908" w:type="dxa"/>
          </w:tcPr>
          <w:p w:rsidR="00C11A15" w:rsidRPr="007B35EA" w:rsidRDefault="00C11A15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Локација</w:t>
            </w:r>
          </w:p>
        </w:tc>
        <w:tc>
          <w:tcPr>
            <w:tcW w:w="7668" w:type="dxa"/>
          </w:tcPr>
          <w:p w:rsidR="00C11A15" w:rsidRPr="007B35EA" w:rsidRDefault="00C11A15" w:rsidP="00FD5095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насеље Блаце,</w:t>
            </w:r>
            <w:r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катастарска перцел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број </w:t>
            </w:r>
            <w:r w:rsidR="00423A86">
              <w:rPr>
                <w:rFonts w:eastAsia="Times New Roman"/>
                <w:color w:val="auto"/>
                <w:kern w:val="0"/>
                <w:lang w:val="sr-Cyrl-CS" w:eastAsia="sr-Latn-RS"/>
              </w:rPr>
              <w:t>5873/1</w:t>
            </w:r>
            <w:r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КО Блаце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263A10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и делови 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суседних </w:t>
            </w:r>
            <w:r w:rsidR="00263A10">
              <w:rPr>
                <w:rFonts w:eastAsia="Times New Roman"/>
                <w:color w:val="auto"/>
                <w:kern w:val="0"/>
                <w:lang w:val="sr-Cyrl-CS" w:eastAsia="sr-Latn-RS"/>
              </w:rPr>
              <w:t>катастарски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х парцела </w:t>
            </w:r>
            <w:r w:rsidR="00263A10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</w:p>
        </w:tc>
      </w:tr>
      <w:tr w:rsidR="00C11A15" w:rsidRPr="007B35EA" w:rsidTr="00410C24">
        <w:tc>
          <w:tcPr>
            <w:tcW w:w="1908" w:type="dxa"/>
          </w:tcPr>
          <w:p w:rsidR="00C11A15" w:rsidRPr="007B35EA" w:rsidRDefault="00C11A15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Намена</w:t>
            </w:r>
          </w:p>
        </w:tc>
        <w:tc>
          <w:tcPr>
            <w:tcW w:w="7668" w:type="dxa"/>
          </w:tcPr>
          <w:p w:rsidR="00C11A15" w:rsidRPr="007B35EA" w:rsidRDefault="00C11A15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јавна саобраћајна површина – улица у насељу </w:t>
            </w:r>
          </w:p>
        </w:tc>
      </w:tr>
      <w:tr w:rsidR="00C11A15" w:rsidRPr="007B35EA" w:rsidTr="00410C24">
        <w:tc>
          <w:tcPr>
            <w:tcW w:w="1908" w:type="dxa"/>
          </w:tcPr>
          <w:p w:rsidR="00C11A15" w:rsidRPr="007B35EA" w:rsidRDefault="00C11A15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Врста радова</w:t>
            </w:r>
          </w:p>
        </w:tc>
        <w:tc>
          <w:tcPr>
            <w:tcW w:w="7668" w:type="dxa"/>
          </w:tcPr>
          <w:p w:rsidR="00C11A15" w:rsidRPr="007B35EA" w:rsidRDefault="00C11A15" w:rsidP="00410C24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Реконструкција</w:t>
            </w:r>
          </w:p>
        </w:tc>
      </w:tr>
      <w:tr w:rsidR="00C11A15" w:rsidRPr="000029B7" w:rsidTr="00410C24">
        <w:tc>
          <w:tcPr>
            <w:tcW w:w="1908" w:type="dxa"/>
          </w:tcPr>
          <w:p w:rsidR="00C11A15" w:rsidRPr="007B35EA" w:rsidRDefault="00C11A15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Пројектни задатак</w:t>
            </w:r>
          </w:p>
        </w:tc>
        <w:tc>
          <w:tcPr>
            <w:tcW w:w="7668" w:type="dxa"/>
          </w:tcPr>
          <w:p w:rsidR="000D770B" w:rsidRDefault="00C11A15" w:rsidP="000D770B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Потребно је предвидети све неопходне радове на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реконструкцији 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градске саобраћајнице 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и пратеће инфраструктуре </w:t>
            </w: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у дужини од </w:t>
            </w:r>
            <w:r w:rsidRPr="006B2E28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око </w:t>
            </w:r>
            <w:r w:rsidR="00423A86">
              <w:rPr>
                <w:rFonts w:eastAsia="Times New Roman"/>
                <w:color w:val="auto"/>
                <w:kern w:val="0"/>
                <w:lang w:val="sr-Cyrl-CS" w:eastAsia="sr-Latn-RS"/>
              </w:rPr>
              <w:t>550</w:t>
            </w:r>
            <w:r w:rsidRPr="006B2E28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м и у ширини профила саобраћајнице од </w:t>
            </w:r>
            <w:r w:rsidRPr="00D4490B">
              <w:rPr>
                <w:rFonts w:eastAsia="Times New Roman"/>
                <w:color w:val="auto"/>
                <w:kern w:val="0"/>
                <w:lang w:val="sr-Cyrl-CS" w:eastAsia="sr-Latn-RS"/>
              </w:rPr>
              <w:t>9,00м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,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  <w:r w:rsidRPr="00805D0B">
              <w:rPr>
                <w:rFonts w:eastAsia="Times New Roman"/>
                <w:color w:val="auto"/>
                <w:kern w:val="0"/>
                <w:lang w:val="sr-Cyrl-CS" w:eastAsia="sr-Latn-RS"/>
              </w:rPr>
              <w:t>у свему у складу са важећим планским документом</w:t>
            </w:r>
            <w:r w:rsidR="00423A86">
              <w:rPr>
                <w:rFonts w:eastAsia="Times New Roman"/>
                <w:color w:val="auto"/>
                <w:kern w:val="0"/>
                <w:lang w:val="sr-Cyrl-CS" w:eastAsia="sr-Latn-RS"/>
              </w:rPr>
              <w:t>.</w:t>
            </w:r>
            <w:r w:rsidR="000D770B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(коловоз у ширини од 6,0м, ивичњаци, обострани тротоари у ширини од 1,5м, јавна расвета)</w:t>
            </w:r>
          </w:p>
          <w:p w:rsidR="00C11A15" w:rsidRPr="000029B7" w:rsidRDefault="00C11A15" w:rsidP="009E1683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Пројектом обухватити и делове улица </w:t>
            </w:r>
            <w:r w:rsidR="009E1683">
              <w:rPr>
                <w:rFonts w:eastAsia="Times New Roman"/>
                <w:color w:val="auto"/>
                <w:kern w:val="0"/>
                <w:lang w:val="sr-Cyrl-CS" w:eastAsia="sr-Latn-RS"/>
              </w:rPr>
              <w:t>са којим се ова улица укршта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, односно на којима се налазе места прикључеља на постојећу инфраструктуру.</w:t>
            </w:r>
          </w:p>
        </w:tc>
      </w:tr>
      <w:tr w:rsidR="00C11A15" w:rsidRPr="007B35EA" w:rsidTr="00410C24">
        <w:tc>
          <w:tcPr>
            <w:tcW w:w="1908" w:type="dxa"/>
          </w:tcPr>
          <w:p w:rsidR="00C11A15" w:rsidRPr="007B35EA" w:rsidRDefault="00C11A15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Плански основ</w:t>
            </w:r>
          </w:p>
        </w:tc>
        <w:tc>
          <w:tcPr>
            <w:tcW w:w="7668" w:type="dxa"/>
          </w:tcPr>
          <w:p w:rsidR="00C11A15" w:rsidRPr="007B35EA" w:rsidRDefault="00C11A15" w:rsidP="00410C24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План генералне регулације насеља Блаце (''Сл.лист општине Блаце'' бр.7/17).</w:t>
            </w:r>
          </w:p>
        </w:tc>
      </w:tr>
      <w:tr w:rsidR="00C11A15" w:rsidRPr="007B35EA" w:rsidTr="00410C24">
        <w:tc>
          <w:tcPr>
            <w:tcW w:w="1908" w:type="dxa"/>
          </w:tcPr>
          <w:p w:rsidR="00C11A15" w:rsidRPr="007B35EA" w:rsidRDefault="00C11A15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Садржај техничке докуменатције</w:t>
            </w:r>
          </w:p>
        </w:tc>
        <w:tc>
          <w:tcPr>
            <w:tcW w:w="7668" w:type="dxa"/>
          </w:tcPr>
          <w:p w:rsidR="00C11A15" w:rsidRPr="00E4685C" w:rsidRDefault="00C11A15" w:rsidP="00410C24">
            <w:pPr>
              <w:ind w:left="612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>1.</w:t>
            </w: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>ИДР-Идејно решење</w:t>
            </w:r>
          </w:p>
          <w:p w:rsidR="00C11A15" w:rsidRPr="009D4597" w:rsidRDefault="00C11A15" w:rsidP="00410C2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12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>2.</w:t>
            </w:r>
            <w:r w:rsidR="00B8469D">
              <w:rPr>
                <w:rFonts w:eastAsia="Times New Roman"/>
                <w:color w:val="auto"/>
                <w:kern w:val="0"/>
                <w:lang w:val="sr-Cyrl-RS" w:eastAsia="sr-Latn-RS"/>
              </w:rPr>
              <w:t>ИДП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="00B8469D">
              <w:rPr>
                <w:rFonts w:eastAsia="Times New Roman"/>
                <w:color w:val="auto"/>
                <w:kern w:val="0"/>
                <w:lang w:val="sr-Cyrl-RS" w:eastAsia="sl-SI"/>
              </w:rPr>
              <w:t>Идејни пројекат</w:t>
            </w:r>
            <w:bookmarkStart w:id="0" w:name="_GoBack"/>
            <w:bookmarkEnd w:id="0"/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</w:p>
          <w:p w:rsidR="00C11A15" w:rsidRDefault="00C11A15" w:rsidP="00410C24">
            <w:pPr>
              <w:widowControl w:val="0"/>
              <w:autoSpaceDE w:val="0"/>
              <w:autoSpaceDN w:val="0"/>
              <w:adjustRightInd w:val="0"/>
              <w:spacing w:line="240" w:lineRule="auto"/>
              <w:ind w:left="612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3.ПЗИ-Пројекат за извођење </w:t>
            </w:r>
          </w:p>
          <w:p w:rsidR="00C11A15" w:rsidRDefault="00C11A15" w:rsidP="00410C24">
            <w:pPr>
              <w:widowControl w:val="0"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</w:p>
          <w:p w:rsidR="00C11A15" w:rsidRPr="009D4597" w:rsidRDefault="00C11A15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Техничка документација садржи </w:t>
            </w:r>
            <w:r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главну свеску и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пројекте који се израђују у деловима,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према областима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садржају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 и то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према следећем редоследу: </w:t>
            </w:r>
          </w:p>
          <w:p w:rsidR="00C11A15" w:rsidRPr="009D4597" w:rsidRDefault="00C11A15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0-главна свеска</w:t>
            </w:r>
          </w:p>
          <w:p w:rsidR="00C11A15" w:rsidRPr="009D4597" w:rsidRDefault="00C11A15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2-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пројекат саобраћајнице</w:t>
            </w:r>
          </w:p>
          <w:p w:rsidR="00C11A15" w:rsidRPr="009D4597" w:rsidRDefault="00C11A15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lastRenderedPageBreak/>
              <w:tab/>
              <w:t>4-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пројекат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електроенергетск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их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инсталациј</w:t>
            </w:r>
            <w:r w:rsidR="00423A86">
              <w:rPr>
                <w:rFonts w:eastAsia="Times New Roman"/>
                <w:color w:val="auto"/>
                <w:kern w:val="0"/>
                <w:lang w:val="sr-Cyrl-RS" w:eastAsia="sl-SI"/>
              </w:rPr>
              <w:t>а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(</w:t>
            </w:r>
            <w:r w:rsidRPr="00E4685C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јавна расвета) </w:t>
            </w:r>
          </w:p>
          <w:p w:rsidR="00C11A15" w:rsidRDefault="00C11A15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8</w:t>
            </w:r>
            <w:r w:rsidRPr="00710896">
              <w:rPr>
                <w:rFonts w:eastAsia="Times New Roman"/>
                <w:color w:val="auto"/>
                <w:kern w:val="0"/>
                <w:lang w:val="sr-Cyrl-RS" w:eastAsia="sl-SI"/>
              </w:rPr>
              <w:t>-пројекат саобраћаја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и саобраћајне сигнализације</w:t>
            </w:r>
          </w:p>
          <w:p w:rsidR="00C11A15" w:rsidRPr="009D4597" w:rsidRDefault="00C11A15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l-SI"/>
              </w:rPr>
            </w:pPr>
          </w:p>
          <w:p w:rsidR="00C11A15" w:rsidRPr="00E4685C" w:rsidRDefault="00C11A15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Пројекат прикључка на јавну комуналну инфраструктуру је део пројекта одговарајуће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области, 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врсте инсталација.</w:t>
            </w:r>
          </w:p>
          <w:p w:rsidR="00C11A15" w:rsidRDefault="00C11A15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 w:rsidRPr="00E4685C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Сви пројекти се израђује у једном примерку у електронском облику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(у 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.pdf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>и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 .dwg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формату)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и потписују електронски  у складу са законом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. </w:t>
            </w:r>
          </w:p>
          <w:p w:rsidR="00C11A15" w:rsidRPr="007B35EA" w:rsidRDefault="00C11A15" w:rsidP="00E56479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CIDFont+F4"/>
                <w:color w:val="auto"/>
                <w:kern w:val="0"/>
                <w:lang w:val="sr-Cyrl-RS" w:eastAsia="en-US"/>
              </w:rPr>
              <w:tab/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ПЗИ се штампа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и доставља Наручиоцу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у три примерка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потписан и оверен од стр</w:t>
            </w:r>
            <w:r w:rsidR="00E56479">
              <w:rPr>
                <w:rFonts w:eastAsia="CIDFont+F4"/>
                <w:color w:val="auto"/>
                <w:kern w:val="0"/>
                <w:lang w:val="sr-Cyrl-RS" w:eastAsia="en-US"/>
              </w:rPr>
              <w:t>а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не пројектаната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.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Графички прилози треба да буду у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размери и штампани у боји на квалитетном папиру. </w:t>
            </w:r>
          </w:p>
        </w:tc>
      </w:tr>
      <w:tr w:rsidR="00C11A15" w:rsidRPr="009D4597" w:rsidTr="00410C24">
        <w:tc>
          <w:tcPr>
            <w:tcW w:w="1908" w:type="dxa"/>
          </w:tcPr>
          <w:p w:rsidR="00C11A15" w:rsidRDefault="00C11A15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lastRenderedPageBreak/>
              <w:t>Подлоге</w:t>
            </w:r>
          </w:p>
        </w:tc>
        <w:tc>
          <w:tcPr>
            <w:tcW w:w="7668" w:type="dxa"/>
          </w:tcPr>
          <w:p w:rsidR="00C11A15" w:rsidRPr="009D4597" w:rsidRDefault="00C11A15" w:rsidP="00E5647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>За потребе израде техничке документ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а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ције Наручилац ће обезбедити и пре почетка 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посла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доставити Извршиоцу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информацију о локацији за 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реконструкцију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улице и припадајуће инфраструктуре и геодетску подлогу (КТП)</w:t>
            </w:r>
            <w:r w:rsidR="00E56479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за прву деоницу од 240м.  Геодетску подлгу са 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  <w:r w:rsidR="00E56479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преосталих 210м обезбеђује Изтвршилац. 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Гелошки елеборат ће</w:t>
            </w:r>
            <w:r w:rsidR="004915F0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у случају потребе 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обезбедити Наручилац</w:t>
            </w:r>
            <w:r w:rsidR="004915F0">
              <w:rPr>
                <w:rFonts w:eastAsia="Times New Roman"/>
                <w:color w:val="auto"/>
                <w:kern w:val="0"/>
                <w:lang w:val="sr-Cyrl-RS" w:eastAsia="sr-Latn-RS"/>
              </w:rPr>
              <w:t>.</w:t>
            </w:r>
          </w:p>
        </w:tc>
      </w:tr>
      <w:tr w:rsidR="00C11A15" w:rsidRPr="00E4685C" w:rsidTr="00410C24">
        <w:tc>
          <w:tcPr>
            <w:tcW w:w="1908" w:type="dxa"/>
          </w:tcPr>
          <w:p w:rsidR="00C11A15" w:rsidRDefault="00C11A15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 xml:space="preserve">Техничка контрола </w:t>
            </w:r>
          </w:p>
        </w:tc>
        <w:tc>
          <w:tcPr>
            <w:tcW w:w="7668" w:type="dxa"/>
          </w:tcPr>
          <w:p w:rsidR="00C11A15" w:rsidRDefault="00C11A15" w:rsidP="00410C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>Техничку контрол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у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ће </w:t>
            </w: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у складу са законом </w:t>
            </w:r>
            <w:r w:rsidRPr="00E4685C">
              <w:rPr>
                <w:rFonts w:eastAsia="Times New Roman"/>
                <w:color w:val="auto"/>
                <w:kern w:val="0"/>
                <w:lang w:val="sr-Cyrl-RS" w:eastAsia="sr-Latn-RS"/>
              </w:rPr>
              <w:t>обезбедити Наручилац.</w:t>
            </w:r>
          </w:p>
          <w:p w:rsidR="00C11A15" w:rsidRPr="00E4685C" w:rsidRDefault="00C11A15" w:rsidP="00410C2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</w:p>
        </w:tc>
      </w:tr>
    </w:tbl>
    <w:p w:rsidR="001266F4" w:rsidRDefault="001266F4" w:rsidP="009D4597">
      <w:pPr>
        <w:jc w:val="both"/>
        <w:rPr>
          <w:rFonts w:eastAsia="CIDFont+F4"/>
          <w:b/>
          <w:color w:val="auto"/>
          <w:kern w:val="0"/>
          <w:lang w:val="sr-Cyrl-RS" w:eastAsia="en-US"/>
        </w:rPr>
      </w:pPr>
    </w:p>
    <w:p w:rsidR="00C11A15" w:rsidRDefault="00C11A15" w:rsidP="00024A28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</w:p>
    <w:p w:rsidR="00D64013" w:rsidRPr="008957B6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8957B6">
        <w:rPr>
          <w:b/>
          <w:bCs/>
          <w:color w:val="auto"/>
          <w:lang w:val="sr-Cyrl-RS"/>
        </w:rPr>
        <w:t>4.     РОК ИЗВРШЕЊА УСЛУГЕ</w:t>
      </w:r>
      <w:r w:rsidRPr="008957B6">
        <w:rPr>
          <w:b/>
          <w:bCs/>
          <w:color w:val="auto"/>
        </w:rPr>
        <w:t xml:space="preserve"> </w:t>
      </w:r>
    </w:p>
    <w:p w:rsidR="00D64013" w:rsidRPr="00E4685C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</w:p>
    <w:p w:rsidR="00E32008" w:rsidRDefault="009C4587" w:rsidP="009C4587">
      <w:pPr>
        <w:tabs>
          <w:tab w:val="left" w:pos="7650"/>
        </w:tabs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Рок за извршење услуге </w:t>
      </w:r>
      <w:r w:rsidR="00E4685C">
        <w:rPr>
          <w:color w:val="auto"/>
          <w:lang w:val="sr-Cyrl-CS"/>
        </w:rPr>
        <w:t xml:space="preserve">је у складу са понуђеним роком </w:t>
      </w:r>
      <w:r w:rsidR="00E32008">
        <w:rPr>
          <w:color w:val="auto"/>
          <w:lang w:val="sr-Cyrl-CS"/>
        </w:rPr>
        <w:t xml:space="preserve">и не може бити дужи од </w:t>
      </w:r>
      <w:r w:rsidR="00DE61A2">
        <w:rPr>
          <w:color w:val="auto"/>
          <w:lang w:val="sr-Cyrl-CS"/>
        </w:rPr>
        <w:t>60</w:t>
      </w:r>
      <w:r w:rsidR="009A35FF">
        <w:rPr>
          <w:color w:val="auto"/>
          <w:lang w:val="sr-Cyrl-CS"/>
        </w:rPr>
        <w:t xml:space="preserve"> </w:t>
      </w:r>
      <w:r w:rsidR="00E32008">
        <w:rPr>
          <w:color w:val="auto"/>
          <w:lang w:val="sr-Cyrl-CS"/>
        </w:rPr>
        <w:t>кал</w:t>
      </w:r>
      <w:r w:rsidR="008A294E">
        <w:rPr>
          <w:color w:val="auto"/>
          <w:lang w:val="sr-Cyrl-CS"/>
        </w:rPr>
        <w:t>е</w:t>
      </w:r>
      <w:r w:rsidR="00E32008">
        <w:rPr>
          <w:color w:val="auto"/>
          <w:lang w:val="sr-Cyrl-CS"/>
        </w:rPr>
        <w:t>ндарских дана од дана закључења уговора.</w:t>
      </w:r>
    </w:p>
    <w:p w:rsidR="009C4587" w:rsidRPr="00E4685C" w:rsidRDefault="009C4587" w:rsidP="009C4587">
      <w:pPr>
        <w:tabs>
          <w:tab w:val="left" w:pos="7650"/>
        </w:tabs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У рок за извршење услуге рачуна се само време које је Извршиоцу потребно за израду техничке документације а не рачуна се време које је Наручиоцу потребно за прибављање </w:t>
      </w:r>
      <w:r w:rsidR="00DE61A2">
        <w:rPr>
          <w:color w:val="auto"/>
          <w:lang w:val="sr-Cyrl-CS"/>
        </w:rPr>
        <w:t xml:space="preserve">локацијских услова и </w:t>
      </w:r>
      <w:r w:rsidR="00E4685C">
        <w:rPr>
          <w:color w:val="auto"/>
          <w:lang w:val="sr-Cyrl-CS"/>
        </w:rPr>
        <w:t>одобрења за извођење радова.</w:t>
      </w:r>
    </w:p>
    <w:p w:rsidR="00EC03E9" w:rsidRPr="00E4685C" w:rsidRDefault="00EC03E9">
      <w:pPr>
        <w:rPr>
          <w:lang w:val="sr-Cyrl-RS"/>
        </w:rPr>
      </w:pPr>
    </w:p>
    <w:p w:rsidR="00EC03E9" w:rsidRPr="00E4685C" w:rsidRDefault="00EC03E9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sectPr w:rsidR="00B53132" w:rsidRPr="002F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D654D"/>
    <w:multiLevelType w:val="hybridMultilevel"/>
    <w:tmpl w:val="537E80E4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24A28"/>
    <w:rsid w:val="00041A54"/>
    <w:rsid w:val="0009372F"/>
    <w:rsid w:val="000A5DB6"/>
    <w:rsid w:val="000D770B"/>
    <w:rsid w:val="000F1B2F"/>
    <w:rsid w:val="001266F4"/>
    <w:rsid w:val="001371BA"/>
    <w:rsid w:val="001777F2"/>
    <w:rsid w:val="001812F7"/>
    <w:rsid w:val="001A1109"/>
    <w:rsid w:val="001C02E7"/>
    <w:rsid w:val="001D2F57"/>
    <w:rsid w:val="001D6C00"/>
    <w:rsid w:val="001F77F0"/>
    <w:rsid w:val="00263A10"/>
    <w:rsid w:val="002B3DFC"/>
    <w:rsid w:val="002C679B"/>
    <w:rsid w:val="002F3DF9"/>
    <w:rsid w:val="00302E52"/>
    <w:rsid w:val="0030359A"/>
    <w:rsid w:val="00316025"/>
    <w:rsid w:val="003D5C12"/>
    <w:rsid w:val="00401D22"/>
    <w:rsid w:val="00410FAF"/>
    <w:rsid w:val="00423A86"/>
    <w:rsid w:val="004915F0"/>
    <w:rsid w:val="004A6486"/>
    <w:rsid w:val="004C189D"/>
    <w:rsid w:val="004D1F51"/>
    <w:rsid w:val="004D4CF0"/>
    <w:rsid w:val="005169D2"/>
    <w:rsid w:val="00536A16"/>
    <w:rsid w:val="005755F0"/>
    <w:rsid w:val="00583078"/>
    <w:rsid w:val="00584A52"/>
    <w:rsid w:val="00594C22"/>
    <w:rsid w:val="005A3072"/>
    <w:rsid w:val="005D6DA2"/>
    <w:rsid w:val="006151CF"/>
    <w:rsid w:val="00620679"/>
    <w:rsid w:val="0063234F"/>
    <w:rsid w:val="00643A7D"/>
    <w:rsid w:val="00656491"/>
    <w:rsid w:val="00665748"/>
    <w:rsid w:val="00670550"/>
    <w:rsid w:val="006A6502"/>
    <w:rsid w:val="006D4559"/>
    <w:rsid w:val="00710896"/>
    <w:rsid w:val="00725258"/>
    <w:rsid w:val="007525F9"/>
    <w:rsid w:val="00792846"/>
    <w:rsid w:val="007A244B"/>
    <w:rsid w:val="007C09EA"/>
    <w:rsid w:val="00823909"/>
    <w:rsid w:val="008957B6"/>
    <w:rsid w:val="008957D3"/>
    <w:rsid w:val="008A294E"/>
    <w:rsid w:val="008C629E"/>
    <w:rsid w:val="0092492E"/>
    <w:rsid w:val="00971A61"/>
    <w:rsid w:val="009A35FF"/>
    <w:rsid w:val="009C018C"/>
    <w:rsid w:val="009C3935"/>
    <w:rsid w:val="009C4587"/>
    <w:rsid w:val="009D2C01"/>
    <w:rsid w:val="009D2E1E"/>
    <w:rsid w:val="009D4597"/>
    <w:rsid w:val="009E1683"/>
    <w:rsid w:val="00A01CAC"/>
    <w:rsid w:val="00A03731"/>
    <w:rsid w:val="00A07FA0"/>
    <w:rsid w:val="00A53B5B"/>
    <w:rsid w:val="00A76BD8"/>
    <w:rsid w:val="00AB4B84"/>
    <w:rsid w:val="00AC4F41"/>
    <w:rsid w:val="00AD0E20"/>
    <w:rsid w:val="00AD3180"/>
    <w:rsid w:val="00B14A9B"/>
    <w:rsid w:val="00B42A90"/>
    <w:rsid w:val="00B53132"/>
    <w:rsid w:val="00B771BC"/>
    <w:rsid w:val="00B8469D"/>
    <w:rsid w:val="00B93BEC"/>
    <w:rsid w:val="00B97F14"/>
    <w:rsid w:val="00BB2B00"/>
    <w:rsid w:val="00BD6C60"/>
    <w:rsid w:val="00BD7BD5"/>
    <w:rsid w:val="00C076C1"/>
    <w:rsid w:val="00C11A15"/>
    <w:rsid w:val="00C17BBF"/>
    <w:rsid w:val="00C51280"/>
    <w:rsid w:val="00C72C67"/>
    <w:rsid w:val="00CA010B"/>
    <w:rsid w:val="00CA59E5"/>
    <w:rsid w:val="00CB2464"/>
    <w:rsid w:val="00CD1D11"/>
    <w:rsid w:val="00CD63AF"/>
    <w:rsid w:val="00CE0459"/>
    <w:rsid w:val="00CE6EAD"/>
    <w:rsid w:val="00D12BA0"/>
    <w:rsid w:val="00D33EE7"/>
    <w:rsid w:val="00D5535E"/>
    <w:rsid w:val="00D56A49"/>
    <w:rsid w:val="00D64013"/>
    <w:rsid w:val="00D720B3"/>
    <w:rsid w:val="00D94D8F"/>
    <w:rsid w:val="00DB2586"/>
    <w:rsid w:val="00DB7827"/>
    <w:rsid w:val="00DE4259"/>
    <w:rsid w:val="00DE61A2"/>
    <w:rsid w:val="00DF6BAA"/>
    <w:rsid w:val="00E118C0"/>
    <w:rsid w:val="00E30A00"/>
    <w:rsid w:val="00E31A7A"/>
    <w:rsid w:val="00E32008"/>
    <w:rsid w:val="00E451C9"/>
    <w:rsid w:val="00E4685C"/>
    <w:rsid w:val="00E56479"/>
    <w:rsid w:val="00E921E6"/>
    <w:rsid w:val="00EC03E9"/>
    <w:rsid w:val="00ED7569"/>
    <w:rsid w:val="00F004CB"/>
    <w:rsid w:val="00F40C82"/>
    <w:rsid w:val="00F932D8"/>
    <w:rsid w:val="00F97B68"/>
    <w:rsid w:val="00FC3DF8"/>
    <w:rsid w:val="00FC5A5F"/>
    <w:rsid w:val="00FD5095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70C1-F77F-4AE8-B7A4-AC2FD416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55</cp:revision>
  <cp:lastPrinted>2023-10-20T09:14:00Z</cp:lastPrinted>
  <dcterms:created xsi:type="dcterms:W3CDTF">2022-01-21T10:24:00Z</dcterms:created>
  <dcterms:modified xsi:type="dcterms:W3CDTF">2023-10-20T09:21:00Z</dcterms:modified>
</cp:coreProperties>
</file>