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67EB7" w14:textId="77777777" w:rsidR="003A03B3" w:rsidRDefault="003A03B3" w:rsidP="003A03B3">
      <w:pPr>
        <w:rPr>
          <w:b/>
          <w:sz w:val="22"/>
          <w:szCs w:val="22"/>
          <w:lang w:val="sr-Cyrl-RS"/>
        </w:rPr>
      </w:pPr>
    </w:p>
    <w:p w14:paraId="5F17FA69" w14:textId="77777777" w:rsidR="003A03B3" w:rsidRDefault="003A03B3" w:rsidP="004D5340">
      <w:pPr>
        <w:jc w:val="center"/>
        <w:rPr>
          <w:b/>
          <w:sz w:val="22"/>
          <w:szCs w:val="22"/>
          <w:lang w:val="sr-Cyrl-RS"/>
        </w:rPr>
      </w:pPr>
    </w:p>
    <w:p w14:paraId="35EE765F" w14:textId="77777777" w:rsidR="003A03B3" w:rsidRDefault="003A03B3" w:rsidP="004D5340">
      <w:pPr>
        <w:jc w:val="center"/>
        <w:rPr>
          <w:b/>
          <w:sz w:val="22"/>
          <w:szCs w:val="22"/>
          <w:lang w:val="sr-Cyrl-RS"/>
        </w:rPr>
      </w:pPr>
    </w:p>
    <w:p w14:paraId="183FE764" w14:textId="77777777" w:rsidR="003A03B3" w:rsidRDefault="003A03B3" w:rsidP="0049527A">
      <w:pPr>
        <w:rPr>
          <w:b/>
          <w:sz w:val="22"/>
          <w:szCs w:val="22"/>
          <w:lang w:val="sr-Cyrl-RS"/>
        </w:rPr>
      </w:pPr>
    </w:p>
    <w:p w14:paraId="62EB7110" w14:textId="5EDA7C27" w:rsidR="00B45EBE" w:rsidRDefault="004D5340" w:rsidP="004D5340">
      <w:pPr>
        <w:jc w:val="center"/>
        <w:rPr>
          <w:b/>
          <w:sz w:val="22"/>
          <w:szCs w:val="22"/>
          <w:lang w:val="sr-Cyrl-RS"/>
        </w:rPr>
      </w:pPr>
      <w:r w:rsidRPr="005D6B36">
        <w:rPr>
          <w:b/>
          <w:sz w:val="22"/>
          <w:szCs w:val="22"/>
          <w:lang w:val="sr-Cyrl-RS"/>
        </w:rPr>
        <w:t>ТЕХНИЧКЕ СПЕЦИФИКАЦИЈЕ</w:t>
      </w:r>
    </w:p>
    <w:p w14:paraId="46F4BC5B" w14:textId="77777777" w:rsidR="00B456CD" w:rsidRPr="00DD1B13" w:rsidRDefault="00B456CD" w:rsidP="00B456CD">
      <w:pPr>
        <w:jc w:val="center"/>
        <w:rPr>
          <w:b/>
          <w:lang w:val="sr-Cyrl-RS"/>
        </w:rPr>
      </w:pPr>
      <w:r>
        <w:rPr>
          <w:b/>
          <w:lang w:val="sr-Cyrl-RS"/>
        </w:rPr>
        <w:t xml:space="preserve">за јавну набавку радова у отвореном поступку </w:t>
      </w:r>
    </w:p>
    <w:p w14:paraId="35EACB85" w14:textId="245FD1FD" w:rsidR="00B456CD" w:rsidRPr="0049527A" w:rsidRDefault="00A37698" w:rsidP="00B456CD">
      <w:pPr>
        <w:jc w:val="center"/>
        <w:rPr>
          <w:b/>
          <w:lang w:val="sr-Cyrl-RS"/>
        </w:rPr>
      </w:pPr>
      <w:r>
        <w:rPr>
          <w:b/>
          <w:lang w:val="sr-Cyrl-RS"/>
        </w:rPr>
        <w:t>Уређење</w:t>
      </w:r>
      <w:bookmarkStart w:id="0" w:name="_GoBack"/>
      <w:bookmarkEnd w:id="0"/>
      <w:r w:rsidR="0049527A">
        <w:rPr>
          <w:b/>
          <w:lang w:val="sr-Cyrl-RS"/>
        </w:rPr>
        <w:t xml:space="preserve"> некатегорисаних атарских путева</w:t>
      </w:r>
    </w:p>
    <w:p w14:paraId="0B8E8CB4" w14:textId="12E8E700" w:rsidR="00B456CD" w:rsidRPr="002A6B6A" w:rsidRDefault="00B456CD" w:rsidP="00B456CD">
      <w:pPr>
        <w:jc w:val="center"/>
        <w:rPr>
          <w:b/>
          <w:lang w:val="sr-Cyrl-RS"/>
        </w:rPr>
      </w:pPr>
      <w:r>
        <w:rPr>
          <w:b/>
          <w:lang w:val="sr-Cyrl-RS"/>
        </w:rPr>
        <w:t xml:space="preserve"> </w:t>
      </w:r>
      <w:r w:rsidR="0049527A">
        <w:rPr>
          <w:b/>
          <w:lang w:val="sr-Cyrl-RS"/>
        </w:rPr>
        <w:t>ЈН број 0020</w:t>
      </w:r>
      <w:r w:rsidR="00FD5364">
        <w:rPr>
          <w:b/>
          <w:lang w:val="sr-Cyrl-RS"/>
        </w:rPr>
        <w:t>/2023</w:t>
      </w:r>
    </w:p>
    <w:p w14:paraId="4AA30A7A" w14:textId="6BD5C2A9" w:rsidR="004D5340" w:rsidRDefault="004D5340" w:rsidP="00B45EBE">
      <w:pPr>
        <w:rPr>
          <w:sz w:val="22"/>
          <w:szCs w:val="22"/>
          <w:lang w:val="sr-Cyrl-CS"/>
        </w:rPr>
      </w:pPr>
    </w:p>
    <w:p w14:paraId="5FAEFA51" w14:textId="77777777" w:rsidR="003A03B3" w:rsidRDefault="003A03B3" w:rsidP="00B45EBE">
      <w:pPr>
        <w:rPr>
          <w:sz w:val="22"/>
          <w:szCs w:val="22"/>
          <w:lang w:val="sr-Cyrl-CS"/>
        </w:rPr>
      </w:pPr>
    </w:p>
    <w:p w14:paraId="0835B11D" w14:textId="77777777" w:rsidR="0084474D" w:rsidRPr="00787D60" w:rsidRDefault="0084474D" w:rsidP="00B45EBE">
      <w:pPr>
        <w:rPr>
          <w:sz w:val="22"/>
          <w:szCs w:val="22"/>
          <w:lang w:val="sr-Cyrl-CS"/>
        </w:rPr>
      </w:pPr>
    </w:p>
    <w:p w14:paraId="515C96BD" w14:textId="77777777" w:rsidR="0084474D" w:rsidRDefault="0084474D" w:rsidP="0084474D">
      <w:pPr>
        <w:rPr>
          <w:b/>
        </w:rPr>
      </w:pPr>
      <w:r>
        <w:rPr>
          <w:b/>
        </w:rPr>
        <w:t>1.ВРСТА РАДОВА</w:t>
      </w:r>
    </w:p>
    <w:p w14:paraId="680FA853" w14:textId="0BF2A18D" w:rsidR="0084474D" w:rsidRDefault="0084474D" w:rsidP="0084474D">
      <w:r>
        <w:t xml:space="preserve"> Грађевински радови – радови нискоградње </w:t>
      </w:r>
    </w:p>
    <w:p w14:paraId="3BB965EC" w14:textId="77777777" w:rsidR="0084474D" w:rsidRDefault="0084474D" w:rsidP="0084474D"/>
    <w:p w14:paraId="5287EC8B" w14:textId="5B8908F9" w:rsidR="0084474D" w:rsidRDefault="0084474D" w:rsidP="0084474D">
      <w:pPr>
        <w:jc w:val="both"/>
      </w:pPr>
      <w:r>
        <w:t xml:space="preserve">Радови предвиђени </w:t>
      </w:r>
      <w:r>
        <w:rPr>
          <w:lang w:val="sr-Cyrl-RS"/>
        </w:rPr>
        <w:t>набавком</w:t>
      </w:r>
      <w:r>
        <w:t xml:space="preserve"> подразумевају радове на </w:t>
      </w:r>
      <w:r w:rsidR="0049527A">
        <w:rPr>
          <w:lang w:val="sr-Cyrl-RS"/>
        </w:rPr>
        <w:t>уређењу</w:t>
      </w:r>
      <w:r>
        <w:t xml:space="preserve"> некатегорисаних </w:t>
      </w:r>
      <w:r w:rsidR="0049527A">
        <w:rPr>
          <w:lang w:val="sr-Cyrl-RS"/>
        </w:rPr>
        <w:t xml:space="preserve">атарских </w:t>
      </w:r>
      <w:r>
        <w:t>путева</w:t>
      </w:r>
      <w:r>
        <w:rPr>
          <w:lang w:val="sr-Cyrl-RS"/>
        </w:rPr>
        <w:t xml:space="preserve"> </w:t>
      </w:r>
      <w:r w:rsidR="0049527A">
        <w:rPr>
          <w:lang w:val="sr-Cyrl-RS"/>
        </w:rPr>
        <w:t xml:space="preserve">на </w:t>
      </w:r>
      <w:r>
        <w:t xml:space="preserve">територији Општине Блаце. </w:t>
      </w:r>
    </w:p>
    <w:p w14:paraId="438A7A38" w14:textId="77777777" w:rsidR="0084474D" w:rsidRDefault="0084474D" w:rsidP="0084474D">
      <w:pPr>
        <w:jc w:val="both"/>
      </w:pPr>
    </w:p>
    <w:p w14:paraId="512D1F31" w14:textId="7E40B73A" w:rsidR="0049527A" w:rsidRPr="0049527A" w:rsidRDefault="0049527A" w:rsidP="0049527A">
      <w:pPr>
        <w:jc w:val="both"/>
        <w:rPr>
          <w:b/>
        </w:rPr>
      </w:pPr>
      <w:r w:rsidRPr="0049527A">
        <w:rPr>
          <w:b/>
        </w:rPr>
        <w:t>Постојеће стање:</w:t>
      </w:r>
    </w:p>
    <w:p w14:paraId="1D5F5145" w14:textId="00AE0B2E" w:rsidR="0049527A" w:rsidRDefault="0049527A" w:rsidP="0049527A">
      <w:pPr>
        <w:jc w:val="both"/>
      </w:pPr>
      <w:r>
        <w:t>Због елементарних непогода  у 2023. години, дошло је до оштећења атарских путева на територији Општине Блаце. Таква ситуација омета нормално одвијање саобраћаја пољопривредних машина.</w:t>
      </w:r>
      <w:r>
        <w:rPr>
          <w:lang w:val="sr-Cyrl-RS"/>
        </w:rPr>
        <w:t xml:space="preserve"> </w:t>
      </w:r>
      <w:r>
        <w:t>Често због тога долази до кретања пољопривредне механизације по њивама и директно се оштећују пољопривредне културе. Због наведених разлога неопходно је уредити путеве.</w:t>
      </w:r>
    </w:p>
    <w:p w14:paraId="6CBD906A" w14:textId="77777777" w:rsidR="0049527A" w:rsidRDefault="0049527A" w:rsidP="0049527A">
      <w:pPr>
        <w:jc w:val="both"/>
      </w:pPr>
    </w:p>
    <w:p w14:paraId="3F5A363B" w14:textId="77777777" w:rsidR="0049527A" w:rsidRPr="0049527A" w:rsidRDefault="0049527A" w:rsidP="0049527A">
      <w:pPr>
        <w:jc w:val="both"/>
        <w:rPr>
          <w:b/>
        </w:rPr>
      </w:pPr>
      <w:r w:rsidRPr="0049527A">
        <w:rPr>
          <w:b/>
        </w:rPr>
        <w:t>Ситуација:</w:t>
      </w:r>
    </w:p>
    <w:p w14:paraId="02DF5BDD" w14:textId="77777777" w:rsidR="0049527A" w:rsidRDefault="0049527A" w:rsidP="0049527A">
      <w:pPr>
        <w:jc w:val="both"/>
      </w:pPr>
      <w:r>
        <w:t>Атарски путеви су од значаја за функционисање сеоске средине.  Путеви омогућавају брз приступ пољопривредним парцелама. Са изградњом пољских путева чини се вишеструка корист пољопривредним произвођачима.  Путеве које ћемо обрађивати су јако лошем стању и тешко проходни. Трасе путева су недовољно дефинисане.</w:t>
      </w:r>
    </w:p>
    <w:p w14:paraId="4DD3EC60" w14:textId="77777777" w:rsidR="0049527A" w:rsidRDefault="0049527A" w:rsidP="0049527A">
      <w:pPr>
        <w:jc w:val="both"/>
      </w:pPr>
    </w:p>
    <w:p w14:paraId="561FF678" w14:textId="77777777" w:rsidR="0049527A" w:rsidRDefault="0049527A" w:rsidP="0049527A">
      <w:pPr>
        <w:jc w:val="both"/>
      </w:pPr>
      <w:r>
        <w:t>Приликом израде путева грађевинске машине ће вршити ископ земље искидање хумуса. Материјал ако је могуће гурати у страну.</w:t>
      </w:r>
    </w:p>
    <w:p w14:paraId="233F310A" w14:textId="77777777" w:rsidR="0049527A" w:rsidRDefault="0049527A" w:rsidP="0049527A">
      <w:pPr>
        <w:jc w:val="both"/>
      </w:pPr>
    </w:p>
    <w:p w14:paraId="4A48FF22" w14:textId="77777777" w:rsidR="0049527A" w:rsidRPr="0049527A" w:rsidRDefault="0049527A" w:rsidP="0049527A">
      <w:pPr>
        <w:jc w:val="both"/>
        <w:rPr>
          <w:b/>
        </w:rPr>
      </w:pPr>
      <w:r w:rsidRPr="0049527A">
        <w:rPr>
          <w:b/>
        </w:rPr>
        <w:t>Коловозна конструкција:</w:t>
      </w:r>
    </w:p>
    <w:p w14:paraId="6D70A586" w14:textId="77777777" w:rsidR="0049527A" w:rsidRDefault="0049527A" w:rsidP="0049527A">
      <w:pPr>
        <w:jc w:val="both"/>
      </w:pPr>
      <w:r>
        <w:t>1.</w:t>
      </w:r>
      <w:r>
        <w:tab/>
        <w:t>Урадити постељицу грађевинским машинама</w:t>
      </w:r>
    </w:p>
    <w:p w14:paraId="158AEE48" w14:textId="77777777" w:rsidR="0049527A" w:rsidRDefault="0049527A" w:rsidP="0049527A">
      <w:pPr>
        <w:jc w:val="both"/>
      </w:pPr>
      <w:r>
        <w:t>2.</w:t>
      </w:r>
      <w:r>
        <w:tab/>
        <w:t>Израда тампона од материјала д=5-10цм</w:t>
      </w:r>
    </w:p>
    <w:p w14:paraId="0DE40984" w14:textId="77777777" w:rsidR="0049527A" w:rsidRDefault="0049527A" w:rsidP="0049527A">
      <w:pPr>
        <w:jc w:val="both"/>
      </w:pPr>
      <w:r>
        <w:t>3.</w:t>
      </w:r>
      <w:r>
        <w:tab/>
        <w:t>Израда тампона од шљунка и каменог агрегата Д=7-20цм</w:t>
      </w:r>
    </w:p>
    <w:p w14:paraId="13C21B58" w14:textId="77777777" w:rsidR="0049527A" w:rsidRDefault="0049527A" w:rsidP="0049527A">
      <w:pPr>
        <w:jc w:val="both"/>
        <w:rPr>
          <w:lang w:val="sr-Cyrl-RS"/>
        </w:rPr>
      </w:pPr>
    </w:p>
    <w:p w14:paraId="004DB9C4" w14:textId="77777777" w:rsidR="0049527A" w:rsidRPr="0049527A" w:rsidRDefault="0049527A" w:rsidP="0049527A">
      <w:pPr>
        <w:jc w:val="both"/>
        <w:rPr>
          <w:b/>
        </w:rPr>
      </w:pPr>
      <w:r w:rsidRPr="0049527A">
        <w:rPr>
          <w:b/>
        </w:rPr>
        <w:t>Одводњавање:</w:t>
      </w:r>
    </w:p>
    <w:p w14:paraId="647D3937" w14:textId="36286509" w:rsidR="0084474D" w:rsidRDefault="0049527A" w:rsidP="0049527A">
      <w:pPr>
        <w:jc w:val="both"/>
        <w:rPr>
          <w:lang w:val="sr-Cyrl-RS"/>
        </w:rPr>
      </w:pPr>
      <w:r>
        <w:t xml:space="preserve">Одводњавање се решава попречним и подужним нагибима коловоза и путним јарковима. На местима где је потребно уградити цевасте пропусте фи 400, 600, 1000. </w:t>
      </w:r>
      <w:r>
        <w:rPr>
          <w:lang w:val="sr-Cyrl-RS"/>
        </w:rPr>
        <w:t>м</w:t>
      </w:r>
      <w:r>
        <w:t>м.</w:t>
      </w:r>
    </w:p>
    <w:p w14:paraId="46B8CCA8" w14:textId="77777777" w:rsidR="0049527A" w:rsidRPr="0049527A" w:rsidRDefault="0049527A" w:rsidP="0049527A">
      <w:pPr>
        <w:jc w:val="both"/>
        <w:rPr>
          <w:lang w:val="sr-Cyrl-RS"/>
        </w:rPr>
      </w:pPr>
    </w:p>
    <w:p w14:paraId="3308EA44" w14:textId="6A1007C7" w:rsidR="0084474D" w:rsidRDefault="0084474D" w:rsidP="0084474D">
      <w:pPr>
        <w:jc w:val="both"/>
      </w:pPr>
      <w:r>
        <w:t xml:space="preserve">Радови на </w:t>
      </w:r>
      <w:r w:rsidR="0049527A">
        <w:rPr>
          <w:lang w:val="sr-Cyrl-RS"/>
        </w:rPr>
        <w:t>уређењу некатегорисаних атарских путева</w:t>
      </w:r>
      <w:r>
        <w:t xml:space="preserve"> изводе се на основу техничког описа </w:t>
      </w:r>
      <w:r>
        <w:rPr>
          <w:lang w:val="sr-Cyrl-RS"/>
        </w:rPr>
        <w:t>и</w:t>
      </w:r>
      <w:r>
        <w:t xml:space="preserve"> пред</w:t>
      </w:r>
      <w:r>
        <w:rPr>
          <w:lang w:val="sr-Cyrl-RS"/>
        </w:rPr>
        <w:t>рачуна</w:t>
      </w:r>
      <w:r>
        <w:t xml:space="preserve"> радова. </w:t>
      </w:r>
    </w:p>
    <w:p w14:paraId="78101322" w14:textId="77777777" w:rsidR="0084474D" w:rsidRDefault="0084474D" w:rsidP="0084474D">
      <w:pPr>
        <w:jc w:val="both"/>
      </w:pPr>
    </w:p>
    <w:p w14:paraId="351C63E7" w14:textId="77777777" w:rsidR="0084474D" w:rsidRDefault="0084474D" w:rsidP="0084474D">
      <w:pPr>
        <w:jc w:val="both"/>
      </w:pPr>
      <w:r>
        <w:t>Наручилац за време извођењa радова обезбеђује стручни надзор.</w:t>
      </w:r>
    </w:p>
    <w:p w14:paraId="1D315595" w14:textId="77777777" w:rsidR="0084474D" w:rsidRDefault="0084474D" w:rsidP="0084474D">
      <w:pPr>
        <w:jc w:val="both"/>
        <w:rPr>
          <w:lang w:val="sr-Cyrl-RS"/>
        </w:rPr>
      </w:pPr>
    </w:p>
    <w:p w14:paraId="596B24DA" w14:textId="77777777" w:rsidR="00265FDE" w:rsidRDefault="00265FDE" w:rsidP="0084474D">
      <w:pPr>
        <w:jc w:val="both"/>
        <w:rPr>
          <w:lang w:val="sr-Cyrl-RS"/>
        </w:rPr>
      </w:pPr>
    </w:p>
    <w:p w14:paraId="7E719FED" w14:textId="77777777" w:rsidR="00265FDE" w:rsidRDefault="00265FDE" w:rsidP="0084474D">
      <w:pPr>
        <w:jc w:val="both"/>
        <w:rPr>
          <w:lang w:val="sr-Cyrl-RS"/>
        </w:rPr>
      </w:pPr>
    </w:p>
    <w:p w14:paraId="6811340B" w14:textId="77777777" w:rsidR="00265FDE" w:rsidRDefault="00265FDE" w:rsidP="0084474D">
      <w:pPr>
        <w:jc w:val="both"/>
        <w:rPr>
          <w:lang w:val="sr-Cyrl-RS"/>
        </w:rPr>
      </w:pPr>
    </w:p>
    <w:p w14:paraId="77066807" w14:textId="77777777" w:rsidR="00265FDE" w:rsidRDefault="00265FDE" w:rsidP="0084474D">
      <w:pPr>
        <w:jc w:val="both"/>
        <w:rPr>
          <w:lang w:val="sr-Cyrl-RS"/>
        </w:rPr>
      </w:pPr>
    </w:p>
    <w:p w14:paraId="4BD1D32C" w14:textId="77777777" w:rsidR="00265FDE" w:rsidRDefault="00265FDE" w:rsidP="0084474D">
      <w:pPr>
        <w:jc w:val="both"/>
        <w:rPr>
          <w:lang w:val="sr-Cyrl-RS"/>
        </w:rPr>
      </w:pPr>
    </w:p>
    <w:p w14:paraId="4B9F17ED" w14:textId="77777777" w:rsidR="00265FDE" w:rsidRDefault="00265FDE" w:rsidP="0084474D">
      <w:pPr>
        <w:jc w:val="both"/>
        <w:rPr>
          <w:lang w:val="sr-Cyrl-RS"/>
        </w:rPr>
      </w:pPr>
    </w:p>
    <w:p w14:paraId="3165A9E1" w14:textId="77777777" w:rsidR="00265FDE" w:rsidRDefault="00265FDE" w:rsidP="0084474D">
      <w:pPr>
        <w:jc w:val="both"/>
        <w:rPr>
          <w:lang w:val="sr-Cyrl-RS"/>
        </w:rPr>
      </w:pPr>
    </w:p>
    <w:p w14:paraId="2432DADB" w14:textId="77777777" w:rsidR="00265FDE" w:rsidRDefault="00265FDE" w:rsidP="0084474D">
      <w:pPr>
        <w:jc w:val="both"/>
        <w:rPr>
          <w:lang w:val="sr-Cyrl-RS"/>
        </w:rPr>
      </w:pPr>
    </w:p>
    <w:p w14:paraId="4E02CD4A" w14:textId="77777777" w:rsidR="00265FDE" w:rsidRDefault="00265FDE" w:rsidP="0084474D">
      <w:pPr>
        <w:jc w:val="both"/>
        <w:rPr>
          <w:lang w:val="sr-Cyrl-RS"/>
        </w:rPr>
      </w:pPr>
    </w:p>
    <w:p w14:paraId="5C8A5F88" w14:textId="77777777" w:rsidR="00265FDE" w:rsidRDefault="00265FDE" w:rsidP="0084474D">
      <w:pPr>
        <w:jc w:val="both"/>
        <w:rPr>
          <w:lang w:val="sr-Cyrl-RS"/>
        </w:rPr>
      </w:pPr>
    </w:p>
    <w:p w14:paraId="437FC178" w14:textId="77777777" w:rsidR="00265FDE" w:rsidRDefault="00265FDE" w:rsidP="0084474D">
      <w:pPr>
        <w:jc w:val="both"/>
        <w:rPr>
          <w:lang w:val="sr-Cyrl-RS"/>
        </w:rPr>
      </w:pPr>
    </w:p>
    <w:p w14:paraId="172DE300" w14:textId="77777777" w:rsidR="00265FDE" w:rsidRDefault="00265FDE" w:rsidP="0084474D">
      <w:pPr>
        <w:jc w:val="both"/>
        <w:rPr>
          <w:lang w:val="sr-Cyrl-RS"/>
        </w:rPr>
      </w:pPr>
    </w:p>
    <w:p w14:paraId="566A38A3" w14:textId="77777777" w:rsidR="00265FDE" w:rsidRPr="00265FDE" w:rsidRDefault="00265FDE" w:rsidP="0084474D">
      <w:pPr>
        <w:jc w:val="both"/>
        <w:rPr>
          <w:lang w:val="sr-Cyrl-RS"/>
        </w:rPr>
      </w:pPr>
    </w:p>
    <w:p w14:paraId="3FD9EC37" w14:textId="57E67B0F" w:rsidR="0084474D" w:rsidRPr="0049527A" w:rsidRDefault="0049527A" w:rsidP="0084474D">
      <w:pPr>
        <w:rPr>
          <w:b/>
          <w:lang w:val="sr-Cyrl-RS"/>
        </w:rPr>
      </w:pPr>
      <w:r w:rsidRPr="0049527A">
        <w:rPr>
          <w:b/>
          <w:lang w:val="sr-Cyrl-RS"/>
        </w:rPr>
        <w:t xml:space="preserve">Локације: </w:t>
      </w:r>
    </w:p>
    <w:tbl>
      <w:tblPr>
        <w:tblW w:w="9719" w:type="dxa"/>
        <w:tblInd w:w="145" w:type="dxa"/>
        <w:tblLayout w:type="fixed"/>
        <w:tblLook w:val="04A0" w:firstRow="1" w:lastRow="0" w:firstColumn="1" w:lastColumn="0" w:noHBand="0" w:noVBand="1"/>
      </w:tblPr>
      <w:tblGrid>
        <w:gridCol w:w="768"/>
        <w:gridCol w:w="2739"/>
        <w:gridCol w:w="3402"/>
        <w:gridCol w:w="1701"/>
        <w:gridCol w:w="1109"/>
      </w:tblGrid>
      <w:tr w:rsidR="00265FDE" w14:paraId="049A3D36" w14:textId="4517130A" w:rsidTr="00265FDE">
        <w:trPr>
          <w:trHeight w:val="420"/>
        </w:trPr>
        <w:tc>
          <w:tcPr>
            <w:tcW w:w="768" w:type="dxa"/>
            <w:tcBorders>
              <w:top w:val="single" w:sz="4" w:space="0" w:color="000000"/>
              <w:left w:val="single" w:sz="4" w:space="0" w:color="000000"/>
              <w:bottom w:val="single" w:sz="4" w:space="0" w:color="000000"/>
              <w:right w:val="nil"/>
            </w:tcBorders>
            <w:hideMark/>
          </w:tcPr>
          <w:p w14:paraId="2647CAAE" w14:textId="77777777" w:rsidR="00265FDE" w:rsidRDefault="00265FDE">
            <w:pPr>
              <w:snapToGrid w:val="0"/>
              <w:rPr>
                <w:rFonts w:eastAsia="SimSun" w:cs="Mangal"/>
                <w:kern w:val="2"/>
                <w:lang w:val="en-US" w:eastAsia="hi-IN" w:bidi="hi-IN"/>
              </w:rPr>
            </w:pPr>
            <w:r>
              <w:t>Р.бр.</w:t>
            </w:r>
          </w:p>
        </w:tc>
        <w:tc>
          <w:tcPr>
            <w:tcW w:w="2739" w:type="dxa"/>
            <w:tcBorders>
              <w:top w:val="single" w:sz="4" w:space="0" w:color="000000"/>
              <w:left w:val="single" w:sz="4" w:space="0" w:color="000000"/>
              <w:bottom w:val="single" w:sz="4" w:space="0" w:color="000000"/>
              <w:right w:val="nil"/>
            </w:tcBorders>
            <w:hideMark/>
          </w:tcPr>
          <w:p w14:paraId="2B3740BE" w14:textId="77777777" w:rsidR="00265FDE" w:rsidRPr="0049527A" w:rsidRDefault="00265FDE">
            <w:pPr>
              <w:snapToGrid w:val="0"/>
              <w:jc w:val="center"/>
              <w:rPr>
                <w:rFonts w:eastAsia="SimSun" w:cs="Mangal"/>
                <w:kern w:val="2"/>
                <w:lang w:val="sr-Cyrl-RS" w:eastAsia="hi-IN" w:bidi="hi-IN"/>
              </w:rPr>
            </w:pPr>
            <w:r>
              <w:t>Врста пута/опис</w:t>
            </w:r>
          </w:p>
        </w:tc>
        <w:tc>
          <w:tcPr>
            <w:tcW w:w="3402" w:type="dxa"/>
            <w:tcBorders>
              <w:top w:val="single" w:sz="4" w:space="0" w:color="000000"/>
              <w:left w:val="single" w:sz="4" w:space="0" w:color="000000"/>
              <w:bottom w:val="single" w:sz="4" w:space="0" w:color="000000"/>
              <w:right w:val="nil"/>
            </w:tcBorders>
            <w:hideMark/>
          </w:tcPr>
          <w:p w14:paraId="01BB701A" w14:textId="77777777" w:rsidR="00265FDE" w:rsidRDefault="00265FDE">
            <w:pPr>
              <w:snapToGrid w:val="0"/>
              <w:jc w:val="center"/>
              <w:rPr>
                <w:rFonts w:eastAsia="SimSun" w:cs="Mangal"/>
                <w:kern w:val="2"/>
                <w:lang w:val="en-US" w:eastAsia="hi-IN" w:bidi="hi-IN"/>
              </w:rPr>
            </w:pPr>
            <w:r>
              <w:t>Катастарска парцела</w:t>
            </w:r>
          </w:p>
          <w:p w14:paraId="0EC835F8" w14:textId="77777777" w:rsidR="00265FDE" w:rsidRDefault="00265FDE">
            <w:pPr>
              <w:jc w:val="center"/>
              <w:rPr>
                <w:lang w:val="sr-Cyrl-RS"/>
              </w:rPr>
            </w:pPr>
            <w:r>
              <w:rPr>
                <w:lang w:val="sr-Cyrl-RS"/>
              </w:rPr>
              <w:t>и</w:t>
            </w:r>
          </w:p>
          <w:p w14:paraId="31CB1821" w14:textId="77777777" w:rsidR="00265FDE" w:rsidRDefault="00265FDE">
            <w:pPr>
              <w:jc w:val="center"/>
              <w:rPr>
                <w:rFonts w:eastAsia="SimSun" w:cs="Mangal"/>
                <w:kern w:val="2"/>
                <w:lang w:val="sr-Cyrl-RS" w:eastAsia="hi-IN" w:bidi="hi-IN"/>
              </w:rPr>
            </w:pPr>
            <w:r>
              <w:rPr>
                <w:lang w:val="sr-Cyrl-RS"/>
              </w:rPr>
              <w:t>картастарска општина</w:t>
            </w:r>
          </w:p>
        </w:tc>
        <w:tc>
          <w:tcPr>
            <w:tcW w:w="1701" w:type="dxa"/>
            <w:tcBorders>
              <w:top w:val="single" w:sz="4" w:space="0" w:color="000000"/>
              <w:left w:val="single" w:sz="4" w:space="0" w:color="000000"/>
              <w:bottom w:val="single" w:sz="4" w:space="0" w:color="000000"/>
              <w:right w:val="single" w:sz="4" w:space="0" w:color="000000"/>
            </w:tcBorders>
            <w:hideMark/>
          </w:tcPr>
          <w:p w14:paraId="57697AD6" w14:textId="20B6DD2F" w:rsidR="00265FDE" w:rsidRPr="00265FDE" w:rsidRDefault="00265FDE">
            <w:pPr>
              <w:snapToGrid w:val="0"/>
              <w:jc w:val="center"/>
              <w:rPr>
                <w:rFonts w:eastAsia="SimSun" w:cs="Mangal"/>
                <w:kern w:val="2"/>
                <w:lang w:val="sr-Cyrl-RS" w:eastAsia="hi-IN" w:bidi="hi-IN"/>
              </w:rPr>
            </w:pPr>
            <w:r>
              <w:t xml:space="preserve">Оквирна </w:t>
            </w:r>
            <w:r>
              <w:rPr>
                <w:lang w:val="sr-Cyrl-RS"/>
              </w:rPr>
              <w:t>дужина</w:t>
            </w:r>
          </w:p>
        </w:tc>
        <w:tc>
          <w:tcPr>
            <w:tcW w:w="1109" w:type="dxa"/>
            <w:tcBorders>
              <w:top w:val="single" w:sz="4" w:space="0" w:color="auto"/>
              <w:bottom w:val="single" w:sz="4" w:space="0" w:color="auto"/>
              <w:right w:val="single" w:sz="4" w:space="0" w:color="auto"/>
            </w:tcBorders>
            <w:shd w:val="clear" w:color="auto" w:fill="auto"/>
          </w:tcPr>
          <w:p w14:paraId="21424545" w14:textId="01E689B5" w:rsidR="00265FDE" w:rsidRPr="00265FDE" w:rsidRDefault="00265FDE">
            <w:pPr>
              <w:suppressAutoHyphens w:val="0"/>
              <w:spacing w:after="160" w:line="259" w:lineRule="auto"/>
              <w:rPr>
                <w:lang w:val="sr-Cyrl-RS"/>
              </w:rPr>
            </w:pPr>
            <w:r>
              <w:rPr>
                <w:lang w:val="sr-Cyrl-RS"/>
              </w:rPr>
              <w:t>Ширина пута</w:t>
            </w:r>
          </w:p>
        </w:tc>
      </w:tr>
      <w:tr w:rsidR="00265FDE" w14:paraId="2BA7156A" w14:textId="06682B5B" w:rsidTr="00265FDE">
        <w:trPr>
          <w:trHeight w:val="420"/>
        </w:trPr>
        <w:tc>
          <w:tcPr>
            <w:tcW w:w="768" w:type="dxa"/>
            <w:tcBorders>
              <w:top w:val="single" w:sz="4" w:space="0" w:color="000000"/>
              <w:left w:val="single" w:sz="4" w:space="0" w:color="000000"/>
              <w:bottom w:val="single" w:sz="4" w:space="0" w:color="000000"/>
              <w:right w:val="nil"/>
            </w:tcBorders>
            <w:hideMark/>
          </w:tcPr>
          <w:p w14:paraId="2C2AEF73" w14:textId="77777777" w:rsidR="00265FDE" w:rsidRDefault="00265FDE">
            <w:pPr>
              <w:snapToGrid w:val="0"/>
              <w:rPr>
                <w:rFonts w:eastAsia="SimSun" w:cs="Mangal"/>
                <w:kern w:val="2"/>
                <w:lang w:val="en-US" w:eastAsia="hi-IN" w:bidi="hi-IN"/>
              </w:rPr>
            </w:pPr>
            <w:r>
              <w:t>1</w:t>
            </w:r>
          </w:p>
        </w:tc>
        <w:tc>
          <w:tcPr>
            <w:tcW w:w="2739" w:type="dxa"/>
            <w:tcBorders>
              <w:top w:val="single" w:sz="4" w:space="0" w:color="000000"/>
              <w:left w:val="single" w:sz="4" w:space="0" w:color="000000"/>
              <w:bottom w:val="single" w:sz="4" w:space="0" w:color="000000"/>
              <w:right w:val="nil"/>
            </w:tcBorders>
            <w:hideMark/>
          </w:tcPr>
          <w:p w14:paraId="0630D66A" w14:textId="3AE8B123" w:rsidR="00265FDE" w:rsidRPr="0049527A" w:rsidRDefault="00265FDE">
            <w:pPr>
              <w:snapToGrid w:val="0"/>
              <w:rPr>
                <w:rFonts w:eastAsia="SimSun" w:cs="Mangal"/>
                <w:kern w:val="2"/>
                <w:lang w:val="sr-Cyrl-RS" w:eastAsia="hi-IN" w:bidi="hi-IN"/>
              </w:rPr>
            </w:pPr>
            <w:r>
              <w:rPr>
                <w:lang w:val="sr-Cyrl-RS"/>
              </w:rPr>
              <w:t>Пољски пут: Сибница-Доња Рашица-Трбуње</w:t>
            </w:r>
          </w:p>
        </w:tc>
        <w:tc>
          <w:tcPr>
            <w:tcW w:w="3402" w:type="dxa"/>
            <w:tcBorders>
              <w:top w:val="single" w:sz="4" w:space="0" w:color="000000"/>
              <w:left w:val="single" w:sz="4" w:space="0" w:color="000000"/>
              <w:bottom w:val="single" w:sz="4" w:space="0" w:color="000000"/>
              <w:right w:val="nil"/>
            </w:tcBorders>
            <w:hideMark/>
          </w:tcPr>
          <w:p w14:paraId="1A9E4680" w14:textId="50FD133D" w:rsidR="00265FDE" w:rsidRPr="00265FDE" w:rsidRDefault="00265FDE" w:rsidP="00265FDE">
            <w:pPr>
              <w:snapToGrid w:val="0"/>
              <w:jc w:val="center"/>
              <w:rPr>
                <w:lang w:val="sr-Cyrl-RS"/>
              </w:rPr>
            </w:pPr>
            <w:r>
              <w:rPr>
                <w:lang w:val="sr-Cyrl-RS"/>
              </w:rPr>
              <w:t>2945,3173КО Сибница, 173,184</w:t>
            </w:r>
            <w:r>
              <w:t xml:space="preserve"> КО </w:t>
            </w:r>
            <w:r>
              <w:rPr>
                <w:lang w:val="sr-Cyrl-RS"/>
              </w:rPr>
              <w:t>Доња Рашица и 2348 КО Трбуње</w:t>
            </w:r>
          </w:p>
        </w:tc>
        <w:tc>
          <w:tcPr>
            <w:tcW w:w="1701" w:type="dxa"/>
            <w:tcBorders>
              <w:top w:val="single" w:sz="4" w:space="0" w:color="000000"/>
              <w:left w:val="single" w:sz="4" w:space="0" w:color="000000"/>
              <w:bottom w:val="single" w:sz="4" w:space="0" w:color="000000"/>
              <w:right w:val="single" w:sz="4" w:space="0" w:color="000000"/>
            </w:tcBorders>
            <w:hideMark/>
          </w:tcPr>
          <w:p w14:paraId="4503537F" w14:textId="76669B92" w:rsidR="00265FDE" w:rsidRPr="00265FDE" w:rsidRDefault="00265FDE">
            <w:pPr>
              <w:snapToGrid w:val="0"/>
              <w:jc w:val="right"/>
              <w:rPr>
                <w:rFonts w:eastAsia="SimSun" w:cs="Mangal"/>
                <w:kern w:val="2"/>
                <w:lang w:val="sr-Cyrl-RS" w:eastAsia="hi-IN" w:bidi="hi-IN"/>
              </w:rPr>
            </w:pPr>
            <w:r>
              <w:rPr>
                <w:lang w:val="sr-Cyrl-RS"/>
              </w:rPr>
              <w:t>1.520 метара</w:t>
            </w:r>
          </w:p>
        </w:tc>
        <w:tc>
          <w:tcPr>
            <w:tcW w:w="1109" w:type="dxa"/>
            <w:tcBorders>
              <w:top w:val="single" w:sz="4" w:space="0" w:color="auto"/>
              <w:bottom w:val="single" w:sz="4" w:space="0" w:color="auto"/>
              <w:right w:val="single" w:sz="4" w:space="0" w:color="auto"/>
            </w:tcBorders>
            <w:shd w:val="clear" w:color="auto" w:fill="auto"/>
          </w:tcPr>
          <w:p w14:paraId="6553F9E1" w14:textId="043D9131" w:rsidR="00265FDE" w:rsidRPr="00265FDE" w:rsidRDefault="00265FDE">
            <w:pPr>
              <w:suppressAutoHyphens w:val="0"/>
              <w:spacing w:after="160" w:line="259" w:lineRule="auto"/>
              <w:rPr>
                <w:lang w:val="sr-Cyrl-RS"/>
              </w:rPr>
            </w:pPr>
            <w:r>
              <w:rPr>
                <w:lang w:val="sr-Cyrl-RS"/>
              </w:rPr>
              <w:t>3,0 метра</w:t>
            </w:r>
          </w:p>
        </w:tc>
      </w:tr>
      <w:tr w:rsidR="00265FDE" w14:paraId="77D23EFE" w14:textId="61A612F0" w:rsidTr="00265FDE">
        <w:trPr>
          <w:trHeight w:val="420"/>
        </w:trPr>
        <w:tc>
          <w:tcPr>
            <w:tcW w:w="768" w:type="dxa"/>
            <w:tcBorders>
              <w:top w:val="single" w:sz="4" w:space="0" w:color="000000"/>
              <w:left w:val="single" w:sz="4" w:space="0" w:color="000000"/>
              <w:bottom w:val="single" w:sz="4" w:space="0" w:color="000000"/>
              <w:right w:val="nil"/>
            </w:tcBorders>
            <w:hideMark/>
          </w:tcPr>
          <w:p w14:paraId="43ED5B06" w14:textId="470EE941" w:rsidR="00265FDE" w:rsidRDefault="00265FDE">
            <w:pPr>
              <w:snapToGrid w:val="0"/>
              <w:rPr>
                <w:rFonts w:eastAsia="SimSun" w:cs="Mangal"/>
                <w:kern w:val="2"/>
                <w:lang w:val="en-US" w:eastAsia="hi-IN" w:bidi="hi-IN"/>
              </w:rPr>
            </w:pPr>
            <w:r>
              <w:t>2</w:t>
            </w:r>
          </w:p>
        </w:tc>
        <w:tc>
          <w:tcPr>
            <w:tcW w:w="2739" w:type="dxa"/>
            <w:tcBorders>
              <w:top w:val="single" w:sz="4" w:space="0" w:color="000000"/>
              <w:left w:val="single" w:sz="4" w:space="0" w:color="000000"/>
              <w:bottom w:val="single" w:sz="4" w:space="0" w:color="000000"/>
              <w:right w:val="nil"/>
            </w:tcBorders>
            <w:hideMark/>
          </w:tcPr>
          <w:p w14:paraId="03C9D504" w14:textId="6070A036" w:rsidR="00265FDE" w:rsidRPr="00265FDE" w:rsidRDefault="00265FDE">
            <w:pPr>
              <w:snapToGrid w:val="0"/>
              <w:rPr>
                <w:rFonts w:eastAsia="SimSun" w:cs="Mangal"/>
                <w:kern w:val="2"/>
                <w:lang w:val="sr-Cyrl-RS" w:eastAsia="hi-IN" w:bidi="hi-IN"/>
              </w:rPr>
            </w:pPr>
            <w:r>
              <w:rPr>
                <w:lang w:val="sr-Cyrl-RS"/>
              </w:rPr>
              <w:t>Пољски пут Чунгула</w:t>
            </w:r>
          </w:p>
        </w:tc>
        <w:tc>
          <w:tcPr>
            <w:tcW w:w="3402" w:type="dxa"/>
            <w:tcBorders>
              <w:top w:val="single" w:sz="4" w:space="0" w:color="000000"/>
              <w:left w:val="single" w:sz="4" w:space="0" w:color="000000"/>
              <w:bottom w:val="single" w:sz="4" w:space="0" w:color="000000"/>
              <w:right w:val="nil"/>
            </w:tcBorders>
            <w:hideMark/>
          </w:tcPr>
          <w:p w14:paraId="70FDBA24" w14:textId="3F79F07A" w:rsidR="00265FDE" w:rsidRPr="00265FDE" w:rsidRDefault="00265FDE" w:rsidP="00265FDE">
            <w:pPr>
              <w:snapToGrid w:val="0"/>
              <w:jc w:val="center"/>
              <w:rPr>
                <w:rFonts w:eastAsia="SimSun" w:cs="Mangal"/>
                <w:kern w:val="2"/>
                <w:lang w:val="sr-Cyrl-RS" w:eastAsia="hi-IN" w:bidi="hi-IN"/>
              </w:rPr>
            </w:pPr>
            <w:r>
              <w:rPr>
                <w:lang w:val="sr-Cyrl-RS"/>
              </w:rPr>
              <w:t>1722,1810,1843 и 4290</w:t>
            </w:r>
            <w:r>
              <w:t xml:space="preserve"> КО </w:t>
            </w:r>
            <w:r>
              <w:rPr>
                <w:lang w:val="sr-Cyrl-RS"/>
              </w:rPr>
              <w:t>Чунгула</w:t>
            </w:r>
          </w:p>
        </w:tc>
        <w:tc>
          <w:tcPr>
            <w:tcW w:w="1701" w:type="dxa"/>
            <w:tcBorders>
              <w:top w:val="single" w:sz="4" w:space="0" w:color="000000"/>
              <w:left w:val="single" w:sz="4" w:space="0" w:color="000000"/>
              <w:bottom w:val="single" w:sz="4" w:space="0" w:color="auto"/>
              <w:right w:val="single" w:sz="4" w:space="0" w:color="000000"/>
            </w:tcBorders>
            <w:hideMark/>
          </w:tcPr>
          <w:p w14:paraId="50DAE00D" w14:textId="5727D42B" w:rsidR="00265FDE" w:rsidRPr="00265FDE" w:rsidRDefault="00265FDE">
            <w:pPr>
              <w:snapToGrid w:val="0"/>
              <w:jc w:val="right"/>
              <w:rPr>
                <w:rFonts w:eastAsia="SimSun" w:cs="Mangal"/>
                <w:kern w:val="2"/>
                <w:lang w:val="sr-Cyrl-RS" w:eastAsia="hi-IN" w:bidi="hi-IN"/>
              </w:rPr>
            </w:pPr>
            <w:r>
              <w:rPr>
                <w:lang w:val="sr-Cyrl-RS"/>
              </w:rPr>
              <w:t>2.685 метара</w:t>
            </w:r>
          </w:p>
        </w:tc>
        <w:tc>
          <w:tcPr>
            <w:tcW w:w="1109" w:type="dxa"/>
            <w:tcBorders>
              <w:top w:val="single" w:sz="4" w:space="0" w:color="auto"/>
              <w:bottom w:val="single" w:sz="4" w:space="0" w:color="auto"/>
              <w:right w:val="single" w:sz="4" w:space="0" w:color="auto"/>
            </w:tcBorders>
            <w:shd w:val="clear" w:color="auto" w:fill="auto"/>
          </w:tcPr>
          <w:p w14:paraId="3B317819" w14:textId="48F7AD44" w:rsidR="00265FDE" w:rsidRPr="00265FDE" w:rsidRDefault="00265FDE">
            <w:pPr>
              <w:suppressAutoHyphens w:val="0"/>
              <w:spacing w:after="160" w:line="259" w:lineRule="auto"/>
              <w:rPr>
                <w:lang w:val="sr-Cyrl-RS"/>
              </w:rPr>
            </w:pPr>
            <w:r>
              <w:rPr>
                <w:lang w:val="sr-Cyrl-RS"/>
              </w:rPr>
              <w:t>3,0 метра</w:t>
            </w:r>
          </w:p>
        </w:tc>
      </w:tr>
      <w:tr w:rsidR="00265FDE" w14:paraId="0FCD414E" w14:textId="73D93B09" w:rsidTr="00265FDE">
        <w:trPr>
          <w:trHeight w:val="420"/>
        </w:trPr>
        <w:tc>
          <w:tcPr>
            <w:tcW w:w="768" w:type="dxa"/>
            <w:tcBorders>
              <w:top w:val="single" w:sz="4" w:space="0" w:color="000000"/>
              <w:left w:val="single" w:sz="4" w:space="0" w:color="000000"/>
              <w:bottom w:val="single" w:sz="4" w:space="0" w:color="000000"/>
              <w:right w:val="nil"/>
            </w:tcBorders>
            <w:hideMark/>
          </w:tcPr>
          <w:p w14:paraId="57C7822B" w14:textId="77777777" w:rsidR="00265FDE" w:rsidRDefault="00265FDE">
            <w:pPr>
              <w:snapToGrid w:val="0"/>
              <w:rPr>
                <w:rFonts w:eastAsia="SimSun" w:cs="Mangal"/>
                <w:kern w:val="2"/>
                <w:lang w:val="en-US" w:eastAsia="hi-IN" w:bidi="hi-IN"/>
              </w:rPr>
            </w:pPr>
            <w:r>
              <w:t>3</w:t>
            </w:r>
          </w:p>
        </w:tc>
        <w:tc>
          <w:tcPr>
            <w:tcW w:w="2739" w:type="dxa"/>
            <w:tcBorders>
              <w:top w:val="single" w:sz="4" w:space="0" w:color="000000"/>
              <w:left w:val="single" w:sz="4" w:space="0" w:color="000000"/>
              <w:bottom w:val="single" w:sz="4" w:space="0" w:color="000000"/>
              <w:right w:val="nil"/>
            </w:tcBorders>
            <w:hideMark/>
          </w:tcPr>
          <w:p w14:paraId="1BD99B0B" w14:textId="703C5675" w:rsidR="00265FDE" w:rsidRPr="00265FDE" w:rsidRDefault="00265FDE">
            <w:pPr>
              <w:snapToGrid w:val="0"/>
              <w:rPr>
                <w:rFonts w:eastAsia="SimSun" w:cs="Mangal"/>
                <w:kern w:val="2"/>
                <w:lang w:val="sr-Cyrl-RS" w:eastAsia="hi-IN" w:bidi="hi-IN"/>
              </w:rPr>
            </w:pPr>
            <w:r>
              <w:rPr>
                <w:lang w:val="sr-Cyrl-RS"/>
              </w:rPr>
              <w:t>Пољски пут Ђуревац</w:t>
            </w:r>
          </w:p>
        </w:tc>
        <w:tc>
          <w:tcPr>
            <w:tcW w:w="3402" w:type="dxa"/>
            <w:tcBorders>
              <w:top w:val="single" w:sz="4" w:space="0" w:color="000000"/>
              <w:left w:val="single" w:sz="4" w:space="0" w:color="000000"/>
              <w:bottom w:val="single" w:sz="4" w:space="0" w:color="000000"/>
              <w:right w:val="nil"/>
            </w:tcBorders>
            <w:hideMark/>
          </w:tcPr>
          <w:p w14:paraId="061DAC4C" w14:textId="28C1D4E2" w:rsidR="00265FDE" w:rsidRPr="00265FDE" w:rsidRDefault="00265FDE" w:rsidP="00265FDE">
            <w:pPr>
              <w:snapToGrid w:val="0"/>
              <w:jc w:val="center"/>
              <w:rPr>
                <w:rFonts w:eastAsia="SimSun" w:cs="Mangal"/>
                <w:kern w:val="2"/>
                <w:lang w:val="sr-Cyrl-RS" w:eastAsia="hi-IN" w:bidi="hi-IN"/>
              </w:rPr>
            </w:pPr>
            <w:r>
              <w:rPr>
                <w:lang w:val="sr-Cyrl-RS"/>
              </w:rPr>
              <w:t xml:space="preserve">1626 </w:t>
            </w:r>
            <w:r>
              <w:t xml:space="preserve">КО </w:t>
            </w:r>
            <w:r>
              <w:rPr>
                <w:lang w:val="sr-Cyrl-RS"/>
              </w:rPr>
              <w:t>Ђуревац</w:t>
            </w:r>
          </w:p>
        </w:tc>
        <w:tc>
          <w:tcPr>
            <w:tcW w:w="1701" w:type="dxa"/>
            <w:tcBorders>
              <w:top w:val="single" w:sz="4" w:space="0" w:color="000000"/>
              <w:left w:val="single" w:sz="4" w:space="0" w:color="000000"/>
              <w:bottom w:val="single" w:sz="4" w:space="0" w:color="000000"/>
              <w:right w:val="single" w:sz="4" w:space="0" w:color="000000"/>
            </w:tcBorders>
            <w:hideMark/>
          </w:tcPr>
          <w:p w14:paraId="3B679509" w14:textId="1BF40353" w:rsidR="00265FDE" w:rsidRPr="00265FDE" w:rsidRDefault="00265FDE">
            <w:pPr>
              <w:snapToGrid w:val="0"/>
              <w:jc w:val="right"/>
              <w:rPr>
                <w:rFonts w:eastAsia="SimSun" w:cs="Mangal"/>
                <w:kern w:val="2"/>
                <w:lang w:val="sr-Cyrl-RS" w:eastAsia="hi-IN" w:bidi="hi-IN"/>
              </w:rPr>
            </w:pPr>
            <w:r>
              <w:rPr>
                <w:lang w:val="sr-Cyrl-RS"/>
              </w:rPr>
              <w:t>1.400 метара</w:t>
            </w:r>
          </w:p>
        </w:tc>
        <w:tc>
          <w:tcPr>
            <w:tcW w:w="1109" w:type="dxa"/>
            <w:tcBorders>
              <w:top w:val="single" w:sz="4" w:space="0" w:color="auto"/>
              <w:bottom w:val="single" w:sz="4" w:space="0" w:color="auto"/>
              <w:right w:val="single" w:sz="4" w:space="0" w:color="auto"/>
            </w:tcBorders>
            <w:shd w:val="clear" w:color="auto" w:fill="auto"/>
          </w:tcPr>
          <w:p w14:paraId="6FBAADF2" w14:textId="60BED778" w:rsidR="00265FDE" w:rsidRPr="00265FDE" w:rsidRDefault="00265FDE">
            <w:pPr>
              <w:suppressAutoHyphens w:val="0"/>
              <w:spacing w:after="160" w:line="259" w:lineRule="auto"/>
              <w:rPr>
                <w:lang w:val="sr-Cyrl-RS"/>
              </w:rPr>
            </w:pPr>
            <w:r>
              <w:rPr>
                <w:lang w:val="sr-Cyrl-RS"/>
              </w:rPr>
              <w:t>3,0 метра</w:t>
            </w:r>
          </w:p>
        </w:tc>
      </w:tr>
      <w:tr w:rsidR="00265FDE" w14:paraId="12FBE07E" w14:textId="67B0097C" w:rsidTr="00265FDE">
        <w:trPr>
          <w:trHeight w:val="420"/>
        </w:trPr>
        <w:tc>
          <w:tcPr>
            <w:tcW w:w="768" w:type="dxa"/>
            <w:tcBorders>
              <w:top w:val="single" w:sz="4" w:space="0" w:color="000000"/>
              <w:left w:val="single" w:sz="4" w:space="0" w:color="000000"/>
              <w:bottom w:val="single" w:sz="4" w:space="0" w:color="000000"/>
              <w:right w:val="nil"/>
            </w:tcBorders>
            <w:hideMark/>
          </w:tcPr>
          <w:p w14:paraId="504F084E" w14:textId="77777777" w:rsidR="00265FDE" w:rsidRDefault="00265FDE">
            <w:pPr>
              <w:snapToGrid w:val="0"/>
              <w:rPr>
                <w:rFonts w:eastAsia="SimSun" w:cs="Mangal"/>
                <w:kern w:val="2"/>
                <w:lang w:val="en-US" w:eastAsia="hi-IN" w:bidi="hi-IN"/>
              </w:rPr>
            </w:pPr>
            <w:r>
              <w:t>4</w:t>
            </w:r>
          </w:p>
        </w:tc>
        <w:tc>
          <w:tcPr>
            <w:tcW w:w="2739" w:type="dxa"/>
            <w:tcBorders>
              <w:top w:val="single" w:sz="4" w:space="0" w:color="000000"/>
              <w:left w:val="single" w:sz="4" w:space="0" w:color="000000"/>
              <w:bottom w:val="single" w:sz="4" w:space="0" w:color="000000"/>
              <w:right w:val="nil"/>
            </w:tcBorders>
            <w:hideMark/>
          </w:tcPr>
          <w:p w14:paraId="02FE704E" w14:textId="10ACB664" w:rsidR="00265FDE" w:rsidRPr="00265FDE" w:rsidRDefault="00265FDE">
            <w:pPr>
              <w:snapToGrid w:val="0"/>
              <w:rPr>
                <w:rFonts w:eastAsia="SimSun" w:cs="Mangal"/>
                <w:kern w:val="2"/>
                <w:lang w:val="sr-Cyrl-RS" w:eastAsia="hi-IN" w:bidi="hi-IN"/>
              </w:rPr>
            </w:pPr>
            <w:r>
              <w:rPr>
                <w:lang w:val="sr-Cyrl-RS"/>
              </w:rPr>
              <w:t>Пољски пут Барбатовац</w:t>
            </w:r>
          </w:p>
        </w:tc>
        <w:tc>
          <w:tcPr>
            <w:tcW w:w="3402" w:type="dxa"/>
            <w:tcBorders>
              <w:top w:val="single" w:sz="4" w:space="0" w:color="000000"/>
              <w:left w:val="single" w:sz="4" w:space="0" w:color="000000"/>
              <w:bottom w:val="single" w:sz="4" w:space="0" w:color="000000"/>
              <w:right w:val="nil"/>
            </w:tcBorders>
            <w:hideMark/>
          </w:tcPr>
          <w:p w14:paraId="76271D40" w14:textId="0B91325C" w:rsidR="00265FDE" w:rsidRPr="00265FDE" w:rsidRDefault="00265FDE" w:rsidP="00265FDE">
            <w:pPr>
              <w:snapToGrid w:val="0"/>
              <w:jc w:val="center"/>
              <w:rPr>
                <w:rFonts w:eastAsia="SimSun" w:cs="Mangal"/>
                <w:kern w:val="2"/>
                <w:lang w:val="sr-Cyrl-RS" w:eastAsia="hi-IN" w:bidi="hi-IN"/>
              </w:rPr>
            </w:pPr>
            <w:r>
              <w:rPr>
                <w:lang w:val="sr-Cyrl-RS"/>
              </w:rPr>
              <w:t xml:space="preserve">3418 </w:t>
            </w:r>
            <w:r>
              <w:t xml:space="preserve">КО </w:t>
            </w:r>
            <w:r>
              <w:rPr>
                <w:lang w:val="sr-Cyrl-RS"/>
              </w:rPr>
              <w:t>Барбатовац</w:t>
            </w:r>
          </w:p>
        </w:tc>
        <w:tc>
          <w:tcPr>
            <w:tcW w:w="1701" w:type="dxa"/>
            <w:tcBorders>
              <w:top w:val="single" w:sz="4" w:space="0" w:color="000000"/>
              <w:left w:val="single" w:sz="4" w:space="0" w:color="000000"/>
              <w:bottom w:val="single" w:sz="4" w:space="0" w:color="000000"/>
              <w:right w:val="single" w:sz="4" w:space="0" w:color="000000"/>
            </w:tcBorders>
            <w:hideMark/>
          </w:tcPr>
          <w:p w14:paraId="559A13F1" w14:textId="4B7A6B34" w:rsidR="00265FDE" w:rsidRPr="00265FDE" w:rsidRDefault="00265FDE">
            <w:pPr>
              <w:snapToGrid w:val="0"/>
              <w:jc w:val="right"/>
              <w:rPr>
                <w:rFonts w:eastAsia="SimSun" w:cs="Mangal"/>
                <w:kern w:val="2"/>
                <w:lang w:val="sr-Cyrl-RS" w:eastAsia="hi-IN" w:bidi="hi-IN"/>
              </w:rPr>
            </w:pPr>
            <w:r>
              <w:rPr>
                <w:lang w:val="sr-Cyrl-RS"/>
              </w:rPr>
              <w:t>700 метара</w:t>
            </w:r>
          </w:p>
        </w:tc>
        <w:tc>
          <w:tcPr>
            <w:tcW w:w="1109" w:type="dxa"/>
            <w:tcBorders>
              <w:top w:val="single" w:sz="4" w:space="0" w:color="auto"/>
              <w:bottom w:val="single" w:sz="4" w:space="0" w:color="auto"/>
              <w:right w:val="single" w:sz="4" w:space="0" w:color="auto"/>
            </w:tcBorders>
            <w:shd w:val="clear" w:color="auto" w:fill="auto"/>
          </w:tcPr>
          <w:p w14:paraId="6768BB87" w14:textId="145CF5FB" w:rsidR="00265FDE" w:rsidRPr="00265FDE" w:rsidRDefault="00265FDE">
            <w:pPr>
              <w:suppressAutoHyphens w:val="0"/>
              <w:spacing w:after="160" w:line="259" w:lineRule="auto"/>
              <w:rPr>
                <w:lang w:val="sr-Cyrl-RS"/>
              </w:rPr>
            </w:pPr>
            <w:r>
              <w:rPr>
                <w:lang w:val="sr-Cyrl-RS"/>
              </w:rPr>
              <w:t>3,0 метра</w:t>
            </w:r>
          </w:p>
        </w:tc>
      </w:tr>
    </w:tbl>
    <w:p w14:paraId="2154964F" w14:textId="77777777" w:rsidR="00265FDE" w:rsidRDefault="00265FDE" w:rsidP="005D6B36">
      <w:pPr>
        <w:rPr>
          <w:b/>
          <w:sz w:val="22"/>
          <w:szCs w:val="22"/>
          <w:lang w:val="sr-Cyrl-CS"/>
        </w:rPr>
      </w:pPr>
    </w:p>
    <w:p w14:paraId="4D555A6D" w14:textId="77777777" w:rsidR="00265FDE" w:rsidRDefault="00265FDE" w:rsidP="005D6B36">
      <w:pPr>
        <w:rPr>
          <w:b/>
          <w:sz w:val="22"/>
          <w:szCs w:val="22"/>
          <w:lang w:val="sr-Cyrl-CS"/>
        </w:rPr>
      </w:pPr>
    </w:p>
    <w:p w14:paraId="0151ED09" w14:textId="77777777" w:rsidR="005D6B36" w:rsidRDefault="00B45EBE" w:rsidP="005D6B36">
      <w:pPr>
        <w:rPr>
          <w:b/>
          <w:sz w:val="22"/>
          <w:szCs w:val="22"/>
          <w:lang w:val="sr-Cyrl-CS"/>
        </w:rPr>
      </w:pPr>
      <w:r w:rsidRPr="00724ECD">
        <w:rPr>
          <w:b/>
          <w:sz w:val="22"/>
          <w:szCs w:val="22"/>
          <w:lang w:val="sr-Cyrl-CS"/>
        </w:rPr>
        <w:t>5.НАЧИН СПРОВОЂЕЊА КОНТРОЛЕ И ОБЕЗБЕЂЕЊЕ ГАРАНЦИЈЕ КВАЛИТЕТА</w:t>
      </w:r>
    </w:p>
    <w:p w14:paraId="28802B62" w14:textId="77777777" w:rsidR="00724ECD" w:rsidRPr="00724ECD" w:rsidRDefault="00724ECD" w:rsidP="005D6B36">
      <w:pPr>
        <w:rPr>
          <w:b/>
          <w:sz w:val="22"/>
          <w:szCs w:val="22"/>
        </w:rPr>
      </w:pPr>
    </w:p>
    <w:p w14:paraId="2834EB64" w14:textId="65BF1C9D" w:rsidR="00B45EBE" w:rsidRPr="007033AC" w:rsidRDefault="00B45EBE" w:rsidP="001044BD">
      <w:pPr>
        <w:jc w:val="both"/>
        <w:rPr>
          <w:sz w:val="22"/>
          <w:szCs w:val="22"/>
        </w:rPr>
      </w:pPr>
      <w:r w:rsidRPr="007033AC">
        <w:rPr>
          <w:sz w:val="22"/>
          <w:szCs w:val="22"/>
          <w:lang w:val="sr-Cyrl-CS"/>
        </w:rPr>
        <w:t xml:space="preserve">Сви радови морају се изводити у складу са важећим прописима и </w:t>
      </w:r>
      <w:r w:rsidR="002430FA">
        <w:rPr>
          <w:sz w:val="22"/>
          <w:szCs w:val="22"/>
          <w:lang w:val="sr-Cyrl-CS"/>
        </w:rPr>
        <w:t xml:space="preserve">СРПС </w:t>
      </w:r>
      <w:r w:rsidRPr="007033AC">
        <w:rPr>
          <w:sz w:val="22"/>
          <w:szCs w:val="22"/>
          <w:lang w:val="sr-Cyrl-CS"/>
        </w:rPr>
        <w:t>стандардима за ту врсту радова. За све уграђене материјале, извођач радова је у обавези да достави одговарајуће доказе о квалитету којима доказује да квалитет уграђеног материјала одговара захтеваном квалитету</w:t>
      </w:r>
      <w:r w:rsidRPr="007033AC">
        <w:rPr>
          <w:sz w:val="22"/>
          <w:szCs w:val="22"/>
        </w:rPr>
        <w:t>.</w:t>
      </w:r>
    </w:p>
    <w:p w14:paraId="11371613" w14:textId="77777777" w:rsidR="00B45EBE" w:rsidRPr="007033AC" w:rsidRDefault="00B45EBE" w:rsidP="001044BD">
      <w:pPr>
        <w:jc w:val="both"/>
        <w:rPr>
          <w:sz w:val="22"/>
          <w:szCs w:val="22"/>
          <w:lang w:val="sr-Cyrl-CS"/>
        </w:rPr>
      </w:pPr>
      <w:r w:rsidRPr="007033AC">
        <w:rPr>
          <w:sz w:val="22"/>
          <w:szCs w:val="22"/>
          <w:lang w:val="sr-Cyrl-CS"/>
        </w:rPr>
        <w:t xml:space="preserve">За све изведене радове, извођач радова </w:t>
      </w:r>
      <w:r w:rsidRPr="007033AC">
        <w:rPr>
          <w:sz w:val="22"/>
          <w:szCs w:val="22"/>
          <w:lang w:val="sr-Cyrl-RS"/>
        </w:rPr>
        <w:t>је у обавези да достави</w:t>
      </w:r>
      <w:r w:rsidRPr="007033AC">
        <w:rPr>
          <w:sz w:val="22"/>
          <w:szCs w:val="22"/>
          <w:lang w:val="sr-Cyrl-CS"/>
        </w:rPr>
        <w:t xml:space="preserve"> извештаје о испитивању  израђене од стране овлашћене организације, којим доказује да је изведени квалитет радова одговара захтеваном квалитету. </w:t>
      </w:r>
    </w:p>
    <w:p w14:paraId="5A5D6202" w14:textId="77777777" w:rsidR="00B45EBE" w:rsidRDefault="00B45EBE" w:rsidP="001044BD">
      <w:pPr>
        <w:suppressAutoHyphens w:val="0"/>
        <w:autoSpaceDE w:val="0"/>
        <w:autoSpaceDN w:val="0"/>
        <w:adjustRightInd w:val="0"/>
        <w:spacing w:line="240" w:lineRule="auto"/>
        <w:jc w:val="both"/>
        <w:rPr>
          <w:rFonts w:ascii="Calibri" w:eastAsia="TimesNewRomanPSMT" w:hAnsi="Calibri" w:cs="TimesNewRomanPSMT"/>
          <w:color w:val="FF0000"/>
          <w:kern w:val="0"/>
          <w:sz w:val="21"/>
          <w:szCs w:val="21"/>
          <w:lang w:val="sr-Cyrl-RS" w:eastAsia="en-US"/>
        </w:rPr>
      </w:pPr>
    </w:p>
    <w:p w14:paraId="6ECF683D" w14:textId="77777777" w:rsidR="00724ECD" w:rsidRPr="00724ECD" w:rsidRDefault="00724ECD" w:rsidP="00B45EBE">
      <w:pPr>
        <w:suppressAutoHyphens w:val="0"/>
        <w:autoSpaceDE w:val="0"/>
        <w:autoSpaceDN w:val="0"/>
        <w:adjustRightInd w:val="0"/>
        <w:spacing w:line="240" w:lineRule="auto"/>
        <w:rPr>
          <w:rFonts w:ascii="Calibri" w:eastAsia="TimesNewRomanPSMT" w:hAnsi="Calibri" w:cs="TimesNewRomanPSMT"/>
          <w:color w:val="FF0000"/>
          <w:kern w:val="0"/>
          <w:sz w:val="21"/>
          <w:szCs w:val="21"/>
          <w:lang w:val="sr-Cyrl-RS" w:eastAsia="en-US"/>
        </w:rPr>
      </w:pPr>
    </w:p>
    <w:p w14:paraId="4B85D94B" w14:textId="77777777" w:rsidR="00B45EBE" w:rsidRDefault="00B45EBE" w:rsidP="00B45EBE">
      <w:pPr>
        <w:rPr>
          <w:b/>
          <w:sz w:val="22"/>
          <w:szCs w:val="22"/>
          <w:lang w:val="sr-Cyrl-CS"/>
        </w:rPr>
      </w:pPr>
      <w:r w:rsidRPr="00724ECD">
        <w:rPr>
          <w:b/>
          <w:sz w:val="22"/>
          <w:szCs w:val="22"/>
          <w:lang w:val="sr-Cyrl-CS"/>
        </w:rPr>
        <w:t>6.РОК ЗА ИЗВОЂЕЊЕ</w:t>
      </w:r>
    </w:p>
    <w:p w14:paraId="580D24D8" w14:textId="77777777" w:rsidR="00724ECD" w:rsidRPr="00724ECD" w:rsidRDefault="00724ECD" w:rsidP="00B45EBE">
      <w:pPr>
        <w:rPr>
          <w:b/>
          <w:sz w:val="22"/>
          <w:szCs w:val="22"/>
          <w:lang w:val="sr-Cyrl-CS"/>
        </w:rPr>
      </w:pPr>
    </w:p>
    <w:p w14:paraId="68EDE1AB" w14:textId="77777777" w:rsidR="00B45EBE" w:rsidRPr="007033AC" w:rsidRDefault="00B45EBE" w:rsidP="00B45EBE">
      <w:pPr>
        <w:rPr>
          <w:sz w:val="22"/>
          <w:szCs w:val="22"/>
          <w:lang w:val="sr-Cyrl-CS"/>
        </w:rPr>
      </w:pPr>
      <w:r w:rsidRPr="007033AC">
        <w:rPr>
          <w:sz w:val="22"/>
          <w:szCs w:val="22"/>
          <w:lang w:val="sr-Cyrl-CS"/>
        </w:rPr>
        <w:t>Рок за извођење одређује се понудом и уговором о извођењу.</w:t>
      </w:r>
    </w:p>
    <w:p w14:paraId="08F74BA5" w14:textId="750A9498" w:rsidR="00B45EBE" w:rsidRDefault="00B45EBE" w:rsidP="00B45EBE">
      <w:pPr>
        <w:rPr>
          <w:sz w:val="22"/>
          <w:szCs w:val="22"/>
          <w:lang w:val="sr-Cyrl-CS"/>
        </w:rPr>
      </w:pPr>
      <w:r w:rsidRPr="007033AC">
        <w:rPr>
          <w:sz w:val="22"/>
          <w:szCs w:val="22"/>
          <w:lang w:val="sr-Cyrl-CS"/>
        </w:rPr>
        <w:t xml:space="preserve">Рок за извођење не може бити </w:t>
      </w:r>
      <w:r w:rsidR="00BF518F">
        <w:rPr>
          <w:sz w:val="22"/>
          <w:szCs w:val="22"/>
          <w:lang w:val="sr-Cyrl-CS"/>
        </w:rPr>
        <w:t>дужи од 2</w:t>
      </w:r>
      <w:r w:rsidRPr="007033AC">
        <w:rPr>
          <w:sz w:val="22"/>
          <w:szCs w:val="22"/>
          <w:lang w:val="sr-Cyrl-CS"/>
        </w:rPr>
        <w:t>0 календарских дана од дана увођења извођача у посао.</w:t>
      </w:r>
    </w:p>
    <w:p w14:paraId="76B01423" w14:textId="77777777" w:rsidR="00170C45" w:rsidRDefault="00170C45"/>
    <w:sectPr w:rsidR="00170C45" w:rsidSect="0049527A">
      <w:pgSz w:w="11906" w:h="16838"/>
      <w:pgMar w:top="142"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EE"/>
    <w:family w:val="auto"/>
    <w:pitch w:val="default"/>
    <w:sig w:usb0="00000000" w:usb1="00000000" w:usb2="00000000"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E07F6"/>
    <w:multiLevelType w:val="hybridMultilevel"/>
    <w:tmpl w:val="B0AEA4AA"/>
    <w:lvl w:ilvl="0" w:tplc="20EECA7C">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BE"/>
    <w:rsid w:val="0000751C"/>
    <w:rsid w:val="000C4FC3"/>
    <w:rsid w:val="000F6608"/>
    <w:rsid w:val="00103C72"/>
    <w:rsid w:val="001044BD"/>
    <w:rsid w:val="00124FA4"/>
    <w:rsid w:val="00140AE2"/>
    <w:rsid w:val="00170C45"/>
    <w:rsid w:val="00172A50"/>
    <w:rsid w:val="0019294E"/>
    <w:rsid w:val="001C2BA3"/>
    <w:rsid w:val="001E1092"/>
    <w:rsid w:val="00234527"/>
    <w:rsid w:val="002430FA"/>
    <w:rsid w:val="0024335A"/>
    <w:rsid w:val="002620E6"/>
    <w:rsid w:val="00265FDE"/>
    <w:rsid w:val="002775C5"/>
    <w:rsid w:val="003A03B3"/>
    <w:rsid w:val="003A31C6"/>
    <w:rsid w:val="003A35B1"/>
    <w:rsid w:val="003A3950"/>
    <w:rsid w:val="003B1F7D"/>
    <w:rsid w:val="003C2E36"/>
    <w:rsid w:val="003C49F2"/>
    <w:rsid w:val="003D339B"/>
    <w:rsid w:val="003E72EB"/>
    <w:rsid w:val="00446521"/>
    <w:rsid w:val="0049527A"/>
    <w:rsid w:val="004B5C10"/>
    <w:rsid w:val="004D5340"/>
    <w:rsid w:val="00526F25"/>
    <w:rsid w:val="005755C8"/>
    <w:rsid w:val="005D6B36"/>
    <w:rsid w:val="00687457"/>
    <w:rsid w:val="00692F62"/>
    <w:rsid w:val="00724ECD"/>
    <w:rsid w:val="00735D62"/>
    <w:rsid w:val="007D381D"/>
    <w:rsid w:val="007D60E4"/>
    <w:rsid w:val="008231D6"/>
    <w:rsid w:val="00834A3C"/>
    <w:rsid w:val="0084474D"/>
    <w:rsid w:val="00895069"/>
    <w:rsid w:val="008A7A80"/>
    <w:rsid w:val="008B30A1"/>
    <w:rsid w:val="00927003"/>
    <w:rsid w:val="0094168E"/>
    <w:rsid w:val="00952462"/>
    <w:rsid w:val="00954314"/>
    <w:rsid w:val="00967B09"/>
    <w:rsid w:val="00970F8E"/>
    <w:rsid w:val="00986CCC"/>
    <w:rsid w:val="009B6825"/>
    <w:rsid w:val="009D54DC"/>
    <w:rsid w:val="009E702C"/>
    <w:rsid w:val="00A22E30"/>
    <w:rsid w:val="00A37698"/>
    <w:rsid w:val="00A5463E"/>
    <w:rsid w:val="00A609C8"/>
    <w:rsid w:val="00A666EE"/>
    <w:rsid w:val="00B456CD"/>
    <w:rsid w:val="00B45EBE"/>
    <w:rsid w:val="00BF11DA"/>
    <w:rsid w:val="00BF518F"/>
    <w:rsid w:val="00C92DF1"/>
    <w:rsid w:val="00CF7FF8"/>
    <w:rsid w:val="00D34F8B"/>
    <w:rsid w:val="00D66A4F"/>
    <w:rsid w:val="00D80FD7"/>
    <w:rsid w:val="00DC6483"/>
    <w:rsid w:val="00E07229"/>
    <w:rsid w:val="00E907A6"/>
    <w:rsid w:val="00F25612"/>
    <w:rsid w:val="00F45842"/>
    <w:rsid w:val="00FD5364"/>
    <w:rsid w:val="00FE117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C6"/>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87457"/>
    <w:pPr>
      <w:suppressAutoHyphens w:val="0"/>
      <w:spacing w:before="100" w:beforeAutospacing="1" w:after="100" w:afterAutospacing="1" w:line="240" w:lineRule="auto"/>
    </w:pPr>
    <w:rPr>
      <w:rFonts w:eastAsia="Times New Roman"/>
      <w:color w:val="auto"/>
      <w:kern w:val="0"/>
      <w:lang w:eastAsia="sr-Latn-RS"/>
    </w:rPr>
  </w:style>
  <w:style w:type="table" w:styleId="TableGrid">
    <w:name w:val="Table Grid"/>
    <w:basedOn w:val="TableNormal"/>
    <w:uiPriority w:val="39"/>
    <w:rsid w:val="005D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F2"/>
    <w:rPr>
      <w:rFonts w:ascii="Tahoma" w:eastAsia="Arial Unicode MS" w:hAnsi="Tahoma" w:cs="Tahoma"/>
      <w:color w:val="000000"/>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C6"/>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687457"/>
    <w:pPr>
      <w:suppressAutoHyphens w:val="0"/>
      <w:spacing w:before="100" w:beforeAutospacing="1" w:after="100" w:afterAutospacing="1" w:line="240" w:lineRule="auto"/>
    </w:pPr>
    <w:rPr>
      <w:rFonts w:eastAsia="Times New Roman"/>
      <w:color w:val="auto"/>
      <w:kern w:val="0"/>
      <w:lang w:eastAsia="sr-Latn-RS"/>
    </w:rPr>
  </w:style>
  <w:style w:type="table" w:styleId="TableGrid">
    <w:name w:val="Table Grid"/>
    <w:basedOn w:val="TableNormal"/>
    <w:uiPriority w:val="39"/>
    <w:rsid w:val="005D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F2"/>
    <w:rPr>
      <w:rFonts w:ascii="Tahoma" w:eastAsia="Arial Unicode MS" w:hAnsi="Tahoma" w:cs="Tahoma"/>
      <w:color w:val="000000"/>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0011">
      <w:bodyDiv w:val="1"/>
      <w:marLeft w:val="0"/>
      <w:marRight w:val="0"/>
      <w:marTop w:val="0"/>
      <w:marBottom w:val="0"/>
      <w:divBdr>
        <w:top w:val="none" w:sz="0" w:space="0" w:color="auto"/>
        <w:left w:val="none" w:sz="0" w:space="0" w:color="auto"/>
        <w:bottom w:val="none" w:sz="0" w:space="0" w:color="auto"/>
        <w:right w:val="none" w:sz="0" w:space="0" w:color="auto"/>
      </w:divBdr>
    </w:div>
    <w:div w:id="821195130">
      <w:bodyDiv w:val="1"/>
      <w:marLeft w:val="0"/>
      <w:marRight w:val="0"/>
      <w:marTop w:val="0"/>
      <w:marBottom w:val="0"/>
      <w:divBdr>
        <w:top w:val="none" w:sz="0" w:space="0" w:color="auto"/>
        <w:left w:val="none" w:sz="0" w:space="0" w:color="auto"/>
        <w:bottom w:val="none" w:sz="0" w:space="0" w:color="auto"/>
        <w:right w:val="none" w:sz="0" w:space="0" w:color="auto"/>
      </w:divBdr>
    </w:div>
    <w:div w:id="1010832178">
      <w:bodyDiv w:val="1"/>
      <w:marLeft w:val="0"/>
      <w:marRight w:val="0"/>
      <w:marTop w:val="0"/>
      <w:marBottom w:val="0"/>
      <w:divBdr>
        <w:top w:val="none" w:sz="0" w:space="0" w:color="auto"/>
        <w:left w:val="none" w:sz="0" w:space="0" w:color="auto"/>
        <w:bottom w:val="none" w:sz="0" w:space="0" w:color="auto"/>
        <w:right w:val="none" w:sz="0" w:space="0" w:color="auto"/>
      </w:divBdr>
    </w:div>
    <w:div w:id="19104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Kitanovici</dc:creator>
  <cp:lastModifiedBy>miroslav</cp:lastModifiedBy>
  <cp:revision>4</cp:revision>
  <cp:lastPrinted>2021-03-31T07:04:00Z</cp:lastPrinted>
  <dcterms:created xsi:type="dcterms:W3CDTF">2023-10-25T08:51:00Z</dcterms:created>
  <dcterms:modified xsi:type="dcterms:W3CDTF">2023-10-25T10:30:00Z</dcterms:modified>
</cp:coreProperties>
</file>